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0"/>
        <w:gridCol w:w="6"/>
      </w:tblGrid>
      <w:tr w:rsidR="00025AE0" w:rsidRPr="00025AE0" w:rsidTr="00025AE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00"/>
            </w:tblGrid>
            <w:tr w:rsidR="00025AE0" w:rsidRPr="00025AE0">
              <w:trPr>
                <w:trHeight w:val="3000"/>
                <w:tblCellSpacing w:w="0" w:type="dxa"/>
                <w:jc w:val="center"/>
              </w:trPr>
              <w:tc>
                <w:tcPr>
                  <w:tcW w:w="0" w:type="auto"/>
                  <w:tcMar>
                    <w:top w:w="300" w:type="dxa"/>
                    <w:left w:w="300" w:type="dxa"/>
                    <w:bottom w:w="300" w:type="dxa"/>
                    <w:right w:w="300" w:type="dxa"/>
                  </w:tcMar>
                  <w:hideMark/>
                </w:tcPr>
                <w:tbl>
                  <w:tblPr>
                    <w:tblW w:w="7922" w:type="dxa"/>
                    <w:jc w:val="center"/>
                    <w:tblCellSpacing w:w="0" w:type="dxa"/>
                    <w:tblCellMar>
                      <w:left w:w="0" w:type="dxa"/>
                      <w:right w:w="0" w:type="dxa"/>
                    </w:tblCellMar>
                    <w:tblLook w:val="04A0" w:firstRow="1" w:lastRow="0" w:firstColumn="1" w:lastColumn="0" w:noHBand="0" w:noVBand="1"/>
                  </w:tblPr>
                  <w:tblGrid>
                    <w:gridCol w:w="7922"/>
                  </w:tblGrid>
                  <w:tr w:rsidR="00025AE0" w:rsidRPr="00025AE0" w:rsidTr="00025AE0">
                    <w:trPr>
                      <w:tblCellSpacing w:w="0" w:type="dxa"/>
                      <w:jc w:val="center"/>
                    </w:trPr>
                    <w:tc>
                      <w:tcPr>
                        <w:tcW w:w="5000" w:type="pct"/>
                        <w:tcMar>
                          <w:top w:w="120" w:type="dxa"/>
                          <w:left w:w="0" w:type="dxa"/>
                          <w:bottom w:w="225" w:type="dxa"/>
                          <w:right w:w="0" w:type="dxa"/>
                        </w:tcMar>
                        <w:vAlign w:val="center"/>
                        <w:hideMark/>
                      </w:tcPr>
                      <w:p w:rsidR="00025AE0" w:rsidRDefault="00025AE0" w:rsidP="00025AE0">
                        <w:pPr>
                          <w:widowControl/>
                          <w:spacing w:line="525" w:lineRule="atLeast"/>
                          <w:jc w:val="center"/>
                          <w:rPr>
                            <w:rFonts w:ascii="方正小标宋简体" w:eastAsia="方正小标宋简体" w:hAnsi="黑体" w:cs="宋体"/>
                            <w:color w:val="000000"/>
                            <w:kern w:val="0"/>
                            <w:sz w:val="32"/>
                            <w:szCs w:val="32"/>
                          </w:rPr>
                        </w:pPr>
                        <w:r w:rsidRPr="00025AE0">
                          <w:rPr>
                            <w:rFonts w:ascii="方正小标宋简体" w:eastAsia="方正小标宋简体" w:hAnsi="黑体" w:cs="宋体" w:hint="eastAsia"/>
                            <w:color w:val="000000"/>
                            <w:kern w:val="0"/>
                            <w:sz w:val="32"/>
                            <w:szCs w:val="32"/>
                          </w:rPr>
                          <w:t>甘肃省人民政府关于公布</w:t>
                        </w:r>
                      </w:p>
                      <w:p w:rsidR="00025AE0" w:rsidRDefault="00025AE0" w:rsidP="00025AE0">
                        <w:pPr>
                          <w:widowControl/>
                          <w:spacing w:line="525" w:lineRule="atLeast"/>
                          <w:jc w:val="center"/>
                          <w:rPr>
                            <w:rFonts w:ascii="方正小标宋简体" w:eastAsia="方正小标宋简体" w:hAnsi="黑体" w:cs="宋体"/>
                            <w:color w:val="000000"/>
                            <w:kern w:val="0"/>
                            <w:sz w:val="32"/>
                            <w:szCs w:val="32"/>
                          </w:rPr>
                        </w:pPr>
                        <w:r w:rsidRPr="00025AE0">
                          <w:rPr>
                            <w:rFonts w:ascii="方正小标宋简体" w:eastAsia="方正小标宋简体" w:hAnsi="黑体" w:cs="宋体" w:hint="eastAsia"/>
                            <w:color w:val="000000"/>
                            <w:kern w:val="0"/>
                            <w:sz w:val="32"/>
                            <w:szCs w:val="32"/>
                          </w:rPr>
                          <w:t>省级政府部门第二十一批中央在甘单位</w:t>
                        </w:r>
                      </w:p>
                      <w:p w:rsidR="00025AE0" w:rsidRPr="00025AE0" w:rsidRDefault="00025AE0" w:rsidP="00025AE0">
                        <w:pPr>
                          <w:widowControl/>
                          <w:spacing w:line="525" w:lineRule="atLeast"/>
                          <w:jc w:val="center"/>
                          <w:rPr>
                            <w:rFonts w:ascii="方正小标宋简体" w:eastAsia="方正小标宋简体" w:hAnsi="黑体" w:cs="宋体"/>
                            <w:color w:val="000000"/>
                            <w:kern w:val="0"/>
                            <w:sz w:val="32"/>
                            <w:szCs w:val="32"/>
                          </w:rPr>
                        </w:pPr>
                        <w:r w:rsidRPr="00025AE0">
                          <w:rPr>
                            <w:rFonts w:ascii="方正小标宋简体" w:eastAsia="方正小标宋简体" w:hAnsi="黑体" w:cs="宋体" w:hint="eastAsia"/>
                            <w:color w:val="000000"/>
                            <w:kern w:val="0"/>
                            <w:sz w:val="32"/>
                            <w:szCs w:val="32"/>
                          </w:rPr>
                          <w:t xml:space="preserve">第十四批取消和调整行政审批项目等事项的决定 </w:t>
                        </w:r>
                      </w:p>
                    </w:tc>
                  </w:tr>
                  <w:tr w:rsidR="00025AE0" w:rsidRPr="00025AE0" w:rsidTr="00025AE0">
                    <w:trPr>
                      <w:tblCellSpacing w:w="0" w:type="dxa"/>
                      <w:jc w:val="center"/>
                    </w:trPr>
                    <w:tc>
                      <w:tcPr>
                        <w:tcW w:w="5000" w:type="pct"/>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p w:rsidR="00025AE0" w:rsidRPr="00E84B2D" w:rsidRDefault="00025AE0" w:rsidP="00E84B2D">
                        <w:pPr>
                          <w:widowControl/>
                          <w:spacing w:line="330" w:lineRule="atLeast"/>
                          <w:jc w:val="center"/>
                          <w:rPr>
                            <w:rFonts w:ascii="楷体_GB2312" w:eastAsia="楷体_GB2312" w:hAnsi="宋体" w:cs="宋体" w:hint="eastAsia"/>
                            <w:color w:val="3D3D3D"/>
                            <w:kern w:val="0"/>
                            <w:sz w:val="32"/>
                            <w:szCs w:val="32"/>
                          </w:rPr>
                        </w:pPr>
                        <w:proofErr w:type="gramStart"/>
                        <w:r w:rsidRPr="00E84B2D">
                          <w:rPr>
                            <w:rFonts w:ascii="楷体_GB2312" w:eastAsia="楷体_GB2312" w:hAnsi="宋体" w:cs="宋体" w:hint="eastAsia"/>
                            <w:color w:val="3D3D3D"/>
                            <w:kern w:val="0"/>
                            <w:sz w:val="32"/>
                            <w:szCs w:val="32"/>
                          </w:rPr>
                          <w:t>甘政发</w:t>
                        </w:r>
                        <w:proofErr w:type="gramEnd"/>
                        <w:r w:rsidRPr="00E84B2D">
                          <w:rPr>
                            <w:rFonts w:ascii="楷体_GB2312" w:eastAsia="楷体_GB2312" w:hAnsi="宋体" w:cs="宋体" w:hint="eastAsia"/>
                            <w:color w:val="3D3D3D"/>
                            <w:kern w:val="0"/>
                            <w:sz w:val="32"/>
                            <w:szCs w:val="32"/>
                          </w:rPr>
                          <w:t>〔2017〕97号</w:t>
                        </w:r>
                      </w:p>
                      <w:p w:rsidR="00025AE0" w:rsidRPr="0031576B" w:rsidRDefault="00025AE0" w:rsidP="0031576B">
                        <w:pPr>
                          <w:widowControl/>
                          <w:spacing w:line="330" w:lineRule="atLeast"/>
                          <w:jc w:val="left"/>
                          <w:rPr>
                            <w:rFonts w:ascii="宋体" w:eastAsia="宋体" w:hAnsi="宋体" w:cs="宋体"/>
                            <w:color w:val="3D3D3D"/>
                            <w:kern w:val="0"/>
                            <w:sz w:val="18"/>
                            <w:szCs w:val="18"/>
                          </w:rPr>
                        </w:pPr>
                      </w:p>
                      <w:p w:rsidR="00025AE0" w:rsidRPr="00E84B2D" w:rsidRDefault="00025AE0" w:rsidP="0031576B">
                        <w:pPr>
                          <w:widowControl/>
                          <w:spacing w:line="330" w:lineRule="atLeast"/>
                          <w:jc w:val="left"/>
                          <w:rPr>
                            <w:rFonts w:ascii="仿宋_GB2312" w:eastAsia="仿宋_GB2312" w:hAnsi="宋体" w:cs="宋体" w:hint="eastAsia"/>
                            <w:color w:val="3D3D3D"/>
                            <w:kern w:val="0"/>
                            <w:sz w:val="32"/>
                            <w:szCs w:val="32"/>
                          </w:rPr>
                        </w:pPr>
                        <w:r w:rsidRPr="00E84B2D">
                          <w:rPr>
                            <w:rFonts w:ascii="仿宋_GB2312" w:eastAsia="仿宋_GB2312" w:hAnsi="宋体" w:cs="宋体" w:hint="eastAsia"/>
                            <w:color w:val="3D3D3D"/>
                            <w:kern w:val="0"/>
                            <w:sz w:val="32"/>
                            <w:szCs w:val="32"/>
                          </w:rPr>
                          <w:t>各市、自治州人民政府，兰州新区管委会，省政府各部门，中央在甘有关单位：</w:t>
                        </w:r>
                      </w:p>
                      <w:p w:rsidR="00025AE0" w:rsidRPr="00E84B2D" w:rsidRDefault="00025AE0" w:rsidP="0031576B">
                        <w:pPr>
                          <w:widowControl/>
                          <w:spacing w:line="330" w:lineRule="atLeast"/>
                          <w:jc w:val="left"/>
                          <w:rPr>
                            <w:rFonts w:ascii="仿宋_GB2312" w:eastAsia="仿宋_GB2312" w:hAnsi="宋体" w:cs="宋体" w:hint="eastAsia"/>
                            <w:color w:val="3D3D3D"/>
                            <w:kern w:val="0"/>
                            <w:sz w:val="32"/>
                            <w:szCs w:val="32"/>
                          </w:rPr>
                        </w:pPr>
                        <w:r w:rsidRPr="00E84B2D">
                          <w:rPr>
                            <w:rFonts w:ascii="仿宋_GB2312" w:eastAsia="仿宋_GB2312" w:hAnsi="宋体" w:cs="宋体" w:hint="eastAsia"/>
                            <w:color w:val="3D3D3D"/>
                            <w:kern w:val="0"/>
                            <w:sz w:val="32"/>
                            <w:szCs w:val="32"/>
                          </w:rPr>
                          <w:t xml:space="preserve">　　根据《国务院关于取消一批行政许可事项的决定》（国发〔2017〕46号）要求，经2017年12月25日省政府第174次常务会议研究，决定我省省级政府部门第二十一批取消和调整行政审批项目共61项（其中:取消行政许可项目10项，取消部分内容的行政许可项目8项，取消已暂不列入省级行政审批项目的事项1项，合并实施行政许可项目9项，向市县级政府下放行政许可项目4项、下放部分审批内容行政许可项目5项，新增行政许可项目8项，行政许可调整为行政确认事项1项，行政许可调整为备案制管理事项2项，行政许可调整为其他行政权力事项2项，行政许可调整为部门内部管理事项1项，变更行政许可项目名称事项8项；市县级政府部门取消行政许可项目2项）；中央在</w:t>
                        </w:r>
                        <w:proofErr w:type="gramStart"/>
                        <w:r w:rsidRPr="00E84B2D">
                          <w:rPr>
                            <w:rFonts w:ascii="仿宋_GB2312" w:eastAsia="仿宋_GB2312" w:hAnsi="宋体" w:cs="宋体" w:hint="eastAsia"/>
                            <w:color w:val="3D3D3D"/>
                            <w:kern w:val="0"/>
                            <w:sz w:val="32"/>
                            <w:szCs w:val="32"/>
                          </w:rPr>
                          <w:t>甘单位</w:t>
                        </w:r>
                        <w:proofErr w:type="gramEnd"/>
                        <w:r w:rsidRPr="00E84B2D">
                          <w:rPr>
                            <w:rFonts w:ascii="仿宋_GB2312" w:eastAsia="仿宋_GB2312" w:hAnsi="宋体" w:cs="宋体" w:hint="eastAsia"/>
                            <w:color w:val="3D3D3D"/>
                            <w:kern w:val="0"/>
                            <w:sz w:val="32"/>
                            <w:szCs w:val="32"/>
                          </w:rPr>
                          <w:t>第十四批取消</w:t>
                        </w:r>
                        <w:r w:rsidRPr="00E84B2D">
                          <w:rPr>
                            <w:rFonts w:ascii="仿宋_GB2312" w:eastAsia="仿宋_GB2312" w:hAnsi="宋体" w:cs="宋体" w:hint="eastAsia"/>
                            <w:color w:val="3D3D3D"/>
                            <w:kern w:val="0"/>
                            <w:sz w:val="32"/>
                            <w:szCs w:val="32"/>
                          </w:rPr>
                          <w:lastRenderedPageBreak/>
                          <w:t>行政许可项目2项；省级政府部门取消其他事项共5项（其中：取消其他行政权力事项3项，取消部门内部管理事项2项）。现予公布，自公布之日起生效。</w:t>
                        </w:r>
                      </w:p>
                      <w:p w:rsidR="00025AE0" w:rsidRPr="00E84B2D" w:rsidRDefault="00025AE0" w:rsidP="003E6BFF">
                        <w:pPr>
                          <w:widowControl/>
                          <w:spacing w:line="330" w:lineRule="atLeast"/>
                          <w:ind w:firstLineChars="200" w:firstLine="640"/>
                          <w:jc w:val="left"/>
                          <w:rPr>
                            <w:rFonts w:ascii="仿宋_GB2312" w:eastAsia="仿宋_GB2312" w:hAnsi="宋体" w:cs="宋体" w:hint="eastAsia"/>
                            <w:color w:val="3D3D3D"/>
                            <w:kern w:val="0"/>
                            <w:sz w:val="32"/>
                            <w:szCs w:val="32"/>
                          </w:rPr>
                        </w:pPr>
                        <w:r w:rsidRPr="00E84B2D">
                          <w:rPr>
                            <w:rFonts w:ascii="仿宋_GB2312" w:eastAsia="仿宋_GB2312" w:hAnsi="宋体" w:cs="宋体" w:hint="eastAsia"/>
                            <w:color w:val="3D3D3D"/>
                            <w:kern w:val="0"/>
                            <w:sz w:val="32"/>
                            <w:szCs w:val="32"/>
                          </w:rPr>
                          <w:t>各地、各部门要持续推进行政审批制度改革，加快转变政府职能，抓紧做好衔接工作，认真落实事中事后监管责任，坚决维护公平公正的市场秩序。</w:t>
                        </w:r>
                      </w:p>
                      <w:p w:rsidR="00025AE0" w:rsidRPr="00E84B2D" w:rsidRDefault="00025AE0" w:rsidP="0031576B">
                        <w:pPr>
                          <w:widowControl/>
                          <w:spacing w:line="330" w:lineRule="atLeast"/>
                          <w:jc w:val="left"/>
                          <w:rPr>
                            <w:rFonts w:ascii="仿宋_GB2312" w:eastAsia="仿宋_GB2312" w:hAnsi="宋体" w:cs="宋体" w:hint="eastAsia"/>
                            <w:color w:val="3D3D3D"/>
                            <w:kern w:val="0"/>
                            <w:sz w:val="32"/>
                            <w:szCs w:val="32"/>
                          </w:rPr>
                        </w:pPr>
                      </w:p>
                      <w:p w:rsidR="00025AE0" w:rsidRPr="00E84B2D" w:rsidRDefault="00025AE0" w:rsidP="00E84B2D">
                        <w:pPr>
                          <w:widowControl/>
                          <w:spacing w:line="330" w:lineRule="atLeast"/>
                          <w:ind w:firstLineChars="250" w:firstLine="800"/>
                          <w:jc w:val="left"/>
                          <w:rPr>
                            <w:rFonts w:ascii="仿宋_GB2312" w:eastAsia="仿宋_GB2312" w:hAnsi="宋体" w:cs="宋体" w:hint="eastAsia"/>
                            <w:color w:val="3D3D3D"/>
                            <w:kern w:val="0"/>
                            <w:sz w:val="32"/>
                            <w:szCs w:val="32"/>
                          </w:rPr>
                        </w:pPr>
                        <w:r w:rsidRPr="00E84B2D">
                          <w:rPr>
                            <w:rFonts w:ascii="仿宋_GB2312" w:eastAsia="仿宋_GB2312" w:hAnsi="宋体" w:cs="宋体" w:hint="eastAsia"/>
                            <w:color w:val="3D3D3D"/>
                            <w:kern w:val="0"/>
                            <w:sz w:val="32"/>
                            <w:szCs w:val="32"/>
                          </w:rPr>
                          <w:t xml:space="preserve">附件：1.省级政府部门第二十一批取消和调整行政         </w:t>
                        </w:r>
                      </w:p>
                      <w:p w:rsidR="00025AE0" w:rsidRPr="00E84B2D" w:rsidRDefault="00025AE0" w:rsidP="0031576B">
                        <w:pPr>
                          <w:widowControl/>
                          <w:spacing w:line="330" w:lineRule="atLeast"/>
                          <w:jc w:val="left"/>
                          <w:rPr>
                            <w:rFonts w:ascii="仿宋_GB2312" w:eastAsia="仿宋_GB2312" w:hAnsi="宋体" w:cs="宋体" w:hint="eastAsia"/>
                            <w:color w:val="3D3D3D"/>
                            <w:kern w:val="0"/>
                            <w:sz w:val="32"/>
                            <w:szCs w:val="32"/>
                          </w:rPr>
                        </w:pPr>
                        <w:r w:rsidRPr="00E84B2D">
                          <w:rPr>
                            <w:rFonts w:ascii="仿宋_GB2312" w:eastAsia="仿宋_GB2312" w:hAnsi="宋体" w:cs="宋体" w:hint="eastAsia"/>
                            <w:color w:val="3D3D3D"/>
                            <w:kern w:val="0"/>
                            <w:sz w:val="32"/>
                            <w:szCs w:val="32"/>
                          </w:rPr>
                          <w:t xml:space="preserve">        </w:t>
                        </w:r>
                        <w:r w:rsidR="00E84B2D">
                          <w:rPr>
                            <w:rFonts w:ascii="仿宋_GB2312" w:eastAsia="仿宋_GB2312" w:hAnsi="宋体" w:cs="宋体"/>
                            <w:color w:val="3D3D3D"/>
                            <w:kern w:val="0"/>
                            <w:sz w:val="32"/>
                            <w:szCs w:val="32"/>
                          </w:rPr>
                          <w:t xml:space="preserve">     </w:t>
                        </w:r>
                        <w:r w:rsidRPr="00E84B2D">
                          <w:rPr>
                            <w:rFonts w:ascii="仿宋_GB2312" w:eastAsia="仿宋_GB2312" w:hAnsi="宋体" w:cs="宋体" w:hint="eastAsia"/>
                            <w:color w:val="3D3D3D"/>
                            <w:kern w:val="0"/>
                            <w:sz w:val="32"/>
                            <w:szCs w:val="32"/>
                          </w:rPr>
                          <w:t>许可项目目录（61项）</w:t>
                        </w:r>
                      </w:p>
                      <w:p w:rsidR="00025AE0" w:rsidRPr="00E84B2D" w:rsidRDefault="00025AE0" w:rsidP="0031576B">
                        <w:pPr>
                          <w:widowControl/>
                          <w:spacing w:line="330" w:lineRule="atLeast"/>
                          <w:jc w:val="left"/>
                          <w:rPr>
                            <w:rFonts w:ascii="仿宋_GB2312" w:eastAsia="仿宋_GB2312" w:hAnsi="宋体" w:cs="宋体" w:hint="eastAsia"/>
                            <w:color w:val="3D3D3D"/>
                            <w:kern w:val="0"/>
                            <w:sz w:val="32"/>
                            <w:szCs w:val="32"/>
                          </w:rPr>
                        </w:pPr>
                        <w:r w:rsidRPr="00E84B2D">
                          <w:rPr>
                            <w:rFonts w:ascii="仿宋_GB2312" w:eastAsia="仿宋_GB2312" w:hAnsi="宋体" w:cs="宋体" w:hint="eastAsia"/>
                            <w:color w:val="3D3D3D"/>
                            <w:kern w:val="0"/>
                            <w:sz w:val="32"/>
                            <w:szCs w:val="32"/>
                          </w:rPr>
                          <w:t xml:space="preserve">　　      </w:t>
                        </w:r>
                        <w:r w:rsidR="00E84B2D">
                          <w:rPr>
                            <w:rFonts w:ascii="仿宋_GB2312" w:eastAsia="仿宋_GB2312" w:hAnsi="宋体" w:cs="宋体"/>
                            <w:color w:val="3D3D3D"/>
                            <w:kern w:val="0"/>
                            <w:sz w:val="32"/>
                            <w:szCs w:val="32"/>
                          </w:rPr>
                          <w:t xml:space="preserve"> </w:t>
                        </w:r>
                        <w:r w:rsidRPr="00E84B2D">
                          <w:rPr>
                            <w:rFonts w:ascii="仿宋_GB2312" w:eastAsia="仿宋_GB2312" w:hAnsi="宋体" w:cs="宋体" w:hint="eastAsia"/>
                            <w:color w:val="3D3D3D"/>
                            <w:kern w:val="0"/>
                            <w:sz w:val="32"/>
                            <w:szCs w:val="32"/>
                          </w:rPr>
                          <w:t>2.中央在</w:t>
                        </w:r>
                        <w:proofErr w:type="gramStart"/>
                        <w:r w:rsidRPr="00E84B2D">
                          <w:rPr>
                            <w:rFonts w:ascii="仿宋_GB2312" w:eastAsia="仿宋_GB2312" w:hAnsi="宋体" w:cs="宋体" w:hint="eastAsia"/>
                            <w:color w:val="3D3D3D"/>
                            <w:kern w:val="0"/>
                            <w:sz w:val="32"/>
                            <w:szCs w:val="32"/>
                          </w:rPr>
                          <w:t>甘单位</w:t>
                        </w:r>
                        <w:proofErr w:type="gramEnd"/>
                        <w:r w:rsidRPr="00E84B2D">
                          <w:rPr>
                            <w:rFonts w:ascii="仿宋_GB2312" w:eastAsia="仿宋_GB2312" w:hAnsi="宋体" w:cs="宋体" w:hint="eastAsia"/>
                            <w:color w:val="3D3D3D"/>
                            <w:kern w:val="0"/>
                            <w:sz w:val="32"/>
                            <w:szCs w:val="32"/>
                          </w:rPr>
                          <w:t xml:space="preserve">第十四批取消行政许可项目      </w:t>
                        </w:r>
                      </w:p>
                      <w:p w:rsidR="00025AE0" w:rsidRPr="00E84B2D" w:rsidRDefault="00025AE0" w:rsidP="0031576B">
                        <w:pPr>
                          <w:widowControl/>
                          <w:spacing w:line="330" w:lineRule="atLeast"/>
                          <w:jc w:val="left"/>
                          <w:rPr>
                            <w:rFonts w:ascii="仿宋_GB2312" w:eastAsia="仿宋_GB2312" w:hAnsi="宋体" w:cs="宋体" w:hint="eastAsia"/>
                            <w:color w:val="3D3D3D"/>
                            <w:kern w:val="0"/>
                            <w:sz w:val="32"/>
                            <w:szCs w:val="32"/>
                          </w:rPr>
                        </w:pPr>
                        <w:r w:rsidRPr="00E84B2D">
                          <w:rPr>
                            <w:rFonts w:ascii="仿宋_GB2312" w:eastAsia="仿宋_GB2312" w:hAnsi="宋体" w:cs="宋体" w:hint="eastAsia"/>
                            <w:color w:val="3D3D3D"/>
                            <w:kern w:val="0"/>
                            <w:sz w:val="32"/>
                            <w:szCs w:val="32"/>
                          </w:rPr>
                          <w:t xml:space="preserve">           </w:t>
                        </w:r>
                        <w:r w:rsidR="00E84B2D">
                          <w:rPr>
                            <w:rFonts w:ascii="仿宋_GB2312" w:eastAsia="仿宋_GB2312" w:hAnsi="宋体" w:cs="宋体"/>
                            <w:color w:val="3D3D3D"/>
                            <w:kern w:val="0"/>
                            <w:sz w:val="32"/>
                            <w:szCs w:val="32"/>
                          </w:rPr>
                          <w:t xml:space="preserve">  </w:t>
                        </w:r>
                        <w:r w:rsidRPr="00E84B2D">
                          <w:rPr>
                            <w:rFonts w:ascii="仿宋_GB2312" w:eastAsia="仿宋_GB2312" w:hAnsi="宋体" w:cs="宋体" w:hint="eastAsia"/>
                            <w:color w:val="3D3D3D"/>
                            <w:kern w:val="0"/>
                            <w:sz w:val="32"/>
                            <w:szCs w:val="32"/>
                          </w:rPr>
                          <w:t>目录（2项）</w:t>
                        </w:r>
                      </w:p>
                      <w:p w:rsidR="00025AE0" w:rsidRPr="00E84B2D" w:rsidRDefault="00025AE0" w:rsidP="0031576B">
                        <w:pPr>
                          <w:widowControl/>
                          <w:spacing w:line="330" w:lineRule="atLeast"/>
                          <w:jc w:val="left"/>
                          <w:rPr>
                            <w:rFonts w:ascii="仿宋_GB2312" w:eastAsia="仿宋_GB2312" w:hAnsi="宋体" w:cs="宋体" w:hint="eastAsia"/>
                            <w:color w:val="3D3D3D"/>
                            <w:kern w:val="0"/>
                            <w:sz w:val="32"/>
                            <w:szCs w:val="32"/>
                          </w:rPr>
                        </w:pPr>
                        <w:r w:rsidRPr="00E84B2D">
                          <w:rPr>
                            <w:rFonts w:ascii="仿宋_GB2312" w:eastAsia="仿宋_GB2312" w:hAnsi="宋体" w:cs="宋体" w:hint="eastAsia"/>
                            <w:color w:val="3D3D3D"/>
                            <w:kern w:val="0"/>
                            <w:sz w:val="32"/>
                            <w:szCs w:val="32"/>
                          </w:rPr>
                          <w:t xml:space="preserve">　　      </w:t>
                        </w:r>
                        <w:r w:rsidR="00E84B2D">
                          <w:rPr>
                            <w:rFonts w:ascii="仿宋_GB2312" w:eastAsia="仿宋_GB2312" w:hAnsi="宋体" w:cs="宋体"/>
                            <w:color w:val="3D3D3D"/>
                            <w:kern w:val="0"/>
                            <w:sz w:val="32"/>
                            <w:szCs w:val="32"/>
                          </w:rPr>
                          <w:t xml:space="preserve"> </w:t>
                        </w:r>
                        <w:r w:rsidRPr="00E84B2D">
                          <w:rPr>
                            <w:rFonts w:ascii="仿宋_GB2312" w:eastAsia="仿宋_GB2312" w:hAnsi="宋体" w:cs="宋体" w:hint="eastAsia"/>
                            <w:color w:val="3D3D3D"/>
                            <w:kern w:val="0"/>
                            <w:sz w:val="32"/>
                            <w:szCs w:val="32"/>
                          </w:rPr>
                          <w:t>3.省级政府部门取消其他事项目录（5项）</w:t>
                        </w:r>
                      </w:p>
                      <w:p w:rsidR="00025AE0" w:rsidRPr="00E84B2D" w:rsidRDefault="00025AE0" w:rsidP="0031576B">
                        <w:pPr>
                          <w:widowControl/>
                          <w:spacing w:line="330" w:lineRule="atLeast"/>
                          <w:jc w:val="left"/>
                          <w:rPr>
                            <w:rFonts w:ascii="仿宋_GB2312" w:eastAsia="仿宋_GB2312" w:hAnsi="宋体" w:cs="宋体" w:hint="eastAsia"/>
                            <w:color w:val="3D3D3D"/>
                            <w:kern w:val="0"/>
                            <w:sz w:val="32"/>
                            <w:szCs w:val="32"/>
                          </w:rPr>
                        </w:pPr>
                        <w:r w:rsidRPr="00E84B2D">
                          <w:rPr>
                            <w:rFonts w:ascii="仿宋_GB2312" w:eastAsia="仿宋_GB2312" w:hAnsi="宋体" w:cs="宋体" w:hint="eastAsia"/>
                            <w:color w:val="3D3D3D"/>
                            <w:kern w:val="0"/>
                            <w:sz w:val="32"/>
                            <w:szCs w:val="32"/>
                          </w:rPr>
                          <w:t xml:space="preserve"> </w:t>
                        </w:r>
                      </w:p>
                      <w:p w:rsidR="00025AE0" w:rsidRPr="00E84B2D" w:rsidRDefault="00025AE0" w:rsidP="0031576B">
                        <w:pPr>
                          <w:widowControl/>
                          <w:spacing w:line="330" w:lineRule="atLeast"/>
                          <w:jc w:val="left"/>
                          <w:rPr>
                            <w:rFonts w:ascii="仿宋_GB2312" w:eastAsia="仿宋_GB2312" w:hAnsi="宋体" w:cs="宋体" w:hint="eastAsia"/>
                            <w:color w:val="3D3D3D"/>
                            <w:kern w:val="0"/>
                            <w:sz w:val="32"/>
                            <w:szCs w:val="32"/>
                          </w:rPr>
                        </w:pPr>
                        <w:r w:rsidRPr="00E84B2D">
                          <w:rPr>
                            <w:rFonts w:ascii="仿宋_GB2312" w:eastAsia="仿宋_GB2312" w:hAnsi="宋体" w:cs="宋体" w:hint="eastAsia"/>
                            <w:color w:val="3D3D3D"/>
                            <w:kern w:val="0"/>
                            <w:sz w:val="32"/>
                            <w:szCs w:val="32"/>
                          </w:rPr>
                          <w:t xml:space="preserve">                                甘肃省人民政府</w:t>
                        </w:r>
                      </w:p>
                      <w:p w:rsidR="00025AE0" w:rsidRPr="00E84B2D" w:rsidRDefault="00025AE0" w:rsidP="0031576B">
                        <w:pPr>
                          <w:widowControl/>
                          <w:spacing w:line="330" w:lineRule="atLeast"/>
                          <w:jc w:val="left"/>
                          <w:rPr>
                            <w:rFonts w:ascii="仿宋_GB2312" w:eastAsia="仿宋_GB2312" w:hAnsi="宋体" w:cs="宋体" w:hint="eastAsia"/>
                            <w:color w:val="3D3D3D"/>
                            <w:kern w:val="0"/>
                            <w:sz w:val="32"/>
                            <w:szCs w:val="32"/>
                          </w:rPr>
                        </w:pPr>
                        <w:r w:rsidRPr="00E84B2D">
                          <w:rPr>
                            <w:rFonts w:ascii="仿宋_GB2312" w:eastAsia="仿宋_GB2312" w:hAnsi="宋体" w:cs="宋体" w:hint="eastAsia"/>
                            <w:color w:val="3D3D3D"/>
                            <w:kern w:val="0"/>
                            <w:sz w:val="32"/>
                            <w:szCs w:val="32"/>
                          </w:rPr>
                          <w:t xml:space="preserve">                               2017年12月30日</w:t>
                        </w:r>
                      </w:p>
                      <w:p w:rsidR="00025AE0" w:rsidRPr="00E84B2D" w:rsidRDefault="00025AE0" w:rsidP="0031576B">
                        <w:pPr>
                          <w:widowControl/>
                          <w:spacing w:line="330" w:lineRule="atLeast"/>
                          <w:jc w:val="left"/>
                          <w:rPr>
                            <w:rFonts w:ascii="仿宋_GB2312" w:eastAsia="仿宋_GB2312" w:hAnsi="宋体" w:cs="宋体" w:hint="eastAsia"/>
                            <w:color w:val="3D3D3D"/>
                            <w:kern w:val="0"/>
                            <w:sz w:val="32"/>
                            <w:szCs w:val="32"/>
                          </w:rPr>
                        </w:pPr>
                        <w:r w:rsidRPr="00E84B2D">
                          <w:rPr>
                            <w:rFonts w:ascii="仿宋_GB2312" w:eastAsia="仿宋_GB2312" w:hAnsi="宋体" w:cs="宋体" w:hint="eastAsia"/>
                            <w:color w:val="3D3D3D"/>
                            <w:kern w:val="0"/>
                            <w:sz w:val="32"/>
                            <w:szCs w:val="32"/>
                          </w:rPr>
                          <w:t xml:space="preserve">　　（此件公开发布）</w:t>
                        </w:r>
                      </w:p>
                      <w:p w:rsidR="00025AE0" w:rsidRPr="0031576B" w:rsidRDefault="00025AE0" w:rsidP="0031576B">
                        <w:pPr>
                          <w:widowControl/>
                          <w:spacing w:line="330" w:lineRule="atLeast"/>
                          <w:jc w:val="left"/>
                          <w:rPr>
                            <w:rFonts w:ascii="宋体" w:eastAsia="宋体" w:hAnsi="宋体" w:cs="宋体"/>
                            <w:color w:val="3D3D3D"/>
                            <w:kern w:val="0"/>
                            <w:sz w:val="18"/>
                            <w:szCs w:val="18"/>
                          </w:rPr>
                        </w:pPr>
                      </w:p>
                      <w:p w:rsidR="00025AE0" w:rsidRPr="0031576B" w:rsidRDefault="00025AE0" w:rsidP="0031576B">
                        <w:pPr>
                          <w:widowControl/>
                          <w:spacing w:line="330" w:lineRule="atLeast"/>
                          <w:jc w:val="left"/>
                          <w:rPr>
                            <w:rFonts w:ascii="宋体" w:eastAsia="宋体" w:hAnsi="宋体" w:cs="宋体"/>
                            <w:color w:val="3D3D3D"/>
                            <w:kern w:val="0"/>
                            <w:sz w:val="18"/>
                            <w:szCs w:val="18"/>
                          </w:rPr>
                        </w:pPr>
                      </w:p>
                      <w:p w:rsidR="00025AE0" w:rsidRPr="0031576B" w:rsidRDefault="00025AE0" w:rsidP="0031576B">
                        <w:pPr>
                          <w:widowControl/>
                          <w:spacing w:line="330" w:lineRule="atLeast"/>
                          <w:jc w:val="left"/>
                          <w:rPr>
                            <w:rFonts w:ascii="宋体" w:eastAsia="宋体" w:hAnsi="宋体" w:cs="宋体"/>
                            <w:color w:val="3D3D3D"/>
                            <w:kern w:val="0"/>
                            <w:sz w:val="18"/>
                            <w:szCs w:val="18"/>
                          </w:rPr>
                        </w:pPr>
                      </w:p>
                      <w:p w:rsidR="00025AE0" w:rsidRPr="0031576B" w:rsidRDefault="00025AE0" w:rsidP="0031576B">
                        <w:pPr>
                          <w:widowControl/>
                          <w:spacing w:line="330" w:lineRule="atLeast"/>
                          <w:jc w:val="left"/>
                          <w:rPr>
                            <w:rFonts w:ascii="宋体" w:eastAsia="宋体" w:hAnsi="宋体" w:cs="宋体"/>
                            <w:color w:val="3D3D3D"/>
                            <w:kern w:val="0"/>
                            <w:sz w:val="18"/>
                            <w:szCs w:val="18"/>
                          </w:rPr>
                        </w:pPr>
                      </w:p>
                      <w:p w:rsidR="00025AE0" w:rsidRPr="0031576B" w:rsidRDefault="00025AE0" w:rsidP="0031576B">
                        <w:pPr>
                          <w:widowControl/>
                          <w:spacing w:line="330" w:lineRule="atLeast"/>
                          <w:jc w:val="left"/>
                          <w:rPr>
                            <w:rFonts w:ascii="宋体" w:eastAsia="宋体" w:hAnsi="宋体" w:cs="宋体"/>
                            <w:color w:val="3D3D3D"/>
                            <w:kern w:val="0"/>
                            <w:sz w:val="18"/>
                            <w:szCs w:val="18"/>
                          </w:rPr>
                        </w:pPr>
                      </w:p>
                      <w:p w:rsidR="00025AE0" w:rsidRDefault="00025AE0" w:rsidP="0031576B">
                        <w:pPr>
                          <w:widowControl/>
                          <w:spacing w:line="330" w:lineRule="atLeast"/>
                          <w:jc w:val="left"/>
                          <w:rPr>
                            <w:rFonts w:ascii="宋体" w:eastAsia="宋体" w:hAnsi="宋体" w:cs="宋体"/>
                            <w:color w:val="3D3D3D"/>
                            <w:kern w:val="0"/>
                            <w:sz w:val="18"/>
                            <w:szCs w:val="18"/>
                          </w:rPr>
                        </w:pPr>
                      </w:p>
                      <w:p w:rsidR="00EA594B" w:rsidRDefault="00EA594B" w:rsidP="0031576B">
                        <w:pPr>
                          <w:widowControl/>
                          <w:spacing w:line="330" w:lineRule="atLeast"/>
                          <w:jc w:val="left"/>
                          <w:rPr>
                            <w:rFonts w:ascii="宋体" w:eastAsia="宋体" w:hAnsi="宋体" w:cs="宋体"/>
                            <w:color w:val="3D3D3D"/>
                            <w:kern w:val="0"/>
                            <w:sz w:val="18"/>
                            <w:szCs w:val="18"/>
                          </w:rPr>
                        </w:pPr>
                      </w:p>
                      <w:p w:rsidR="00EA594B" w:rsidRDefault="00EA594B"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Pr="0031576B" w:rsidRDefault="00E84B2D" w:rsidP="0031576B">
                        <w:pPr>
                          <w:widowControl/>
                          <w:spacing w:line="330" w:lineRule="atLeast"/>
                          <w:jc w:val="left"/>
                          <w:rPr>
                            <w:rFonts w:ascii="宋体" w:eastAsia="宋体" w:hAnsi="宋体" w:cs="宋体" w:hint="eastAsia"/>
                            <w:color w:val="3D3D3D"/>
                            <w:kern w:val="0"/>
                            <w:sz w:val="18"/>
                            <w:szCs w:val="18"/>
                          </w:rPr>
                        </w:pPr>
                      </w:p>
                      <w:p w:rsidR="00025AE0" w:rsidRPr="00E84B2D" w:rsidRDefault="00025AE0" w:rsidP="0031576B">
                        <w:pPr>
                          <w:widowControl/>
                          <w:spacing w:line="330" w:lineRule="atLeast"/>
                          <w:jc w:val="left"/>
                          <w:rPr>
                            <w:rFonts w:ascii="黑体" w:eastAsia="黑体" w:hAnsi="黑体" w:cs="宋体"/>
                            <w:color w:val="3D3D3D"/>
                            <w:kern w:val="0"/>
                            <w:sz w:val="32"/>
                            <w:szCs w:val="32"/>
                          </w:rPr>
                        </w:pPr>
                        <w:r w:rsidRPr="00E84B2D">
                          <w:rPr>
                            <w:rFonts w:ascii="黑体" w:eastAsia="黑体" w:hAnsi="黑体" w:cs="宋体"/>
                            <w:color w:val="3D3D3D"/>
                            <w:kern w:val="0"/>
                            <w:sz w:val="32"/>
                            <w:szCs w:val="32"/>
                          </w:rPr>
                          <w:lastRenderedPageBreak/>
                          <w:t>附件1</w:t>
                        </w:r>
                      </w:p>
                      <w:p w:rsidR="00025AE0" w:rsidRPr="00025AE0" w:rsidRDefault="00025AE0" w:rsidP="00EA594B">
                        <w:pPr>
                          <w:widowControl/>
                          <w:spacing w:line="330" w:lineRule="atLeast"/>
                          <w:jc w:val="center"/>
                          <w:rPr>
                            <w:rFonts w:ascii="方正小标宋简体" w:eastAsia="方正小标宋简体" w:hAnsi="宋体" w:cs="宋体"/>
                            <w:color w:val="3D3D3D"/>
                            <w:kern w:val="0"/>
                            <w:sz w:val="18"/>
                            <w:szCs w:val="18"/>
                          </w:rPr>
                        </w:pPr>
                        <w:r w:rsidRPr="00025AE0">
                          <w:rPr>
                            <w:rFonts w:ascii="方正小标宋简体" w:eastAsia="方正小标宋简体" w:hAnsi="宋体" w:cs="宋体" w:hint="eastAsia"/>
                            <w:color w:val="3D3D3D"/>
                            <w:kern w:val="0"/>
                            <w:sz w:val="18"/>
                            <w:szCs w:val="18"/>
                          </w:rPr>
                          <w:t>省级政府部门第二十一批</w:t>
                        </w:r>
                      </w:p>
                      <w:p w:rsidR="00025AE0" w:rsidRPr="00025AE0" w:rsidRDefault="00025AE0" w:rsidP="00EA594B">
                        <w:pPr>
                          <w:widowControl/>
                          <w:spacing w:line="330" w:lineRule="atLeast"/>
                          <w:jc w:val="center"/>
                          <w:rPr>
                            <w:rFonts w:ascii="方正小标宋简体" w:eastAsia="方正小标宋简体" w:hAnsi="宋体" w:cs="宋体"/>
                            <w:color w:val="3D3D3D"/>
                            <w:kern w:val="0"/>
                            <w:sz w:val="18"/>
                            <w:szCs w:val="18"/>
                          </w:rPr>
                        </w:pPr>
                        <w:r w:rsidRPr="00025AE0">
                          <w:rPr>
                            <w:rFonts w:ascii="方正小标宋简体" w:eastAsia="方正小标宋简体" w:hAnsi="宋体" w:cs="宋体" w:hint="eastAsia"/>
                            <w:color w:val="3D3D3D"/>
                            <w:kern w:val="0"/>
                            <w:sz w:val="18"/>
                            <w:szCs w:val="18"/>
                          </w:rPr>
                          <w:t>取消和调整行政许可项目目录（61项）</w:t>
                        </w:r>
                      </w:p>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 xml:space="preserve">　　</w:t>
                        </w:r>
                      </w:p>
                      <w:p w:rsidR="00025AE0" w:rsidRPr="00025AE0" w:rsidRDefault="00025AE0" w:rsidP="00EA594B">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（一）取消行政许可项目目录（10项）</w:t>
                        </w:r>
                      </w:p>
                      <w:tbl>
                        <w:tblPr>
                          <w:tblW w:w="5000"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01"/>
                          <w:gridCol w:w="1103"/>
                          <w:gridCol w:w="872"/>
                          <w:gridCol w:w="5040"/>
                        </w:tblGrid>
                        <w:tr w:rsidR="00025AE0" w:rsidRPr="00025AE0" w:rsidTr="0031576B">
                          <w:trPr>
                            <w:tblCellSpacing w:w="0" w:type="dxa"/>
                            <w:jc w:val="center"/>
                          </w:trPr>
                          <w:tc>
                            <w:tcPr>
                              <w:tcW w:w="900" w:type="dxa"/>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0" w:type="auto"/>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c>
                            <w:tcPr>
                              <w:tcW w:w="0" w:type="auto"/>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加强事中事后监管措施</w:t>
                              </w:r>
                            </w:p>
                          </w:tc>
                        </w:tr>
                        <w:tr w:rsidR="00025AE0" w:rsidRPr="00025AE0" w:rsidTr="00B1294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会计从业资格证书核发</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县级以上人民政府财政部门</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F13AA8">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省财政厅按照职责分工，依据《中华人民共和国会计法》规定，不再组织会计从业资格认定以及考试、证书核发和换发、调转登记等工作，依法做好善后工作，做好制度清理、政策衔接、督促落实等工作。</w:t>
                              </w:r>
                              <w:r w:rsidRPr="00025AE0">
                                <w:rPr>
                                  <w:rFonts w:ascii="宋体" w:eastAsia="宋体" w:hAnsi="宋体" w:cs="宋体"/>
                                  <w:kern w:val="0"/>
                                  <w:sz w:val="18"/>
                                  <w:szCs w:val="18"/>
                                </w:rPr>
                                <w:t>进一步强化会计诚信建设</w:t>
                              </w:r>
                              <w:r w:rsidR="00F13AA8" w:rsidRPr="00F13AA8">
                                <w:rPr>
                                  <w:rFonts w:ascii="宋体" w:eastAsia="宋体" w:hAnsi="宋体" w:cs="宋体" w:hint="eastAsia"/>
                                  <w:kern w:val="0"/>
                                  <w:sz w:val="18"/>
                                  <w:szCs w:val="18"/>
                                </w:rPr>
                                <w:t>，加强对</w:t>
                              </w:r>
                              <w:r w:rsidRPr="00025AE0">
                                <w:rPr>
                                  <w:rFonts w:ascii="宋体" w:eastAsia="宋体" w:hAnsi="宋体" w:cs="宋体"/>
                                  <w:kern w:val="0"/>
                                  <w:sz w:val="18"/>
                                  <w:szCs w:val="18"/>
                                </w:rPr>
                                <w:t>会计人员事中事后监管。</w:t>
                              </w:r>
                            </w:p>
                          </w:tc>
                        </w:tr>
                        <w:tr w:rsidR="00025AE0" w:rsidRPr="00025AE0" w:rsidTr="00B1294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资产评估机构设立审批</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省财政厅</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取消审批后，省财政厅按照职责分工，依据《中华人民共和国资产评估法》规定，依法负责对本区域内资产评估行业实施监督管理，加大违法责任追究力度。</w:t>
                              </w:r>
                            </w:p>
                          </w:tc>
                        </w:tr>
                        <w:tr w:rsidR="00025AE0" w:rsidRPr="00025AE0" w:rsidTr="00B1294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地质勘查资质核准</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省国土资源厅</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取消审批后，省国土资源厅按照国土资源部的有关要求，进一步加强事中事后监管，做好相关工作。</w:t>
                              </w:r>
                            </w:p>
                          </w:tc>
                        </w:tr>
                        <w:tr w:rsidR="00025AE0" w:rsidRPr="00025AE0" w:rsidTr="00B1294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城市园林绿化企业资质核准</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市(州)以上人民政府城市园林绿化行政主管部门</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各级住房城乡建设（园林绿化）主管部门结合各自城市园林绿化作业市场管理实际，探索建立健全园林绿化企业信用评价、守信激励、失信惩戒等信用管理制度，加强事中事后监管，维护市场公平竞争秩序。</w:t>
                              </w:r>
                            </w:p>
                          </w:tc>
                        </w:tr>
                        <w:tr w:rsidR="00025AE0" w:rsidRPr="00025AE0" w:rsidTr="00B1294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建设项目水资源论证报告书审批</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县级以上人民政府水行政主管部门</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一是将建设项目水资源论证的有关技术要求纳入“取水许可”。二是在取水许可环节，对水资源论证进行把关，强化取水许可管理。三是加强对建设项目用水的监督检查，严厉查处违反规定利用水资源的行为，处罚结果纳入国家信用平台，实行联合惩戒。</w:t>
                              </w:r>
                            </w:p>
                          </w:tc>
                        </w:tr>
                        <w:tr w:rsidR="00025AE0" w:rsidRPr="00025AE0" w:rsidTr="00B1294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运输、携带国家重点保护野生动物及其产品审批</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省林业厅</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一是运输、携带、寄递依法猎捕的国家重点保护野生动物或者其产品的，凭特许猎捕证。二是运输、携带、寄递经批准出售、购买、利用国家重点保护野生动物或者其属于专用标识管理范围的，凭专用标识；不属于专用标识管理范围的，凭省级以上野生动物保护主管部门批准相应活动的行政许可文书。三是经批准进出口野生动物及其制品需要将野生动物及其制品运往出口口岸或进口目的地的，凭允许进出口证明文书。四是人工繁育场所搬迁的，凭国家重点保护野生动物人工繁育许可证运往搬迁点。五是救护和执法查没的国家重点保护野生动物的运输等特殊情况的，凭县级以上野生动物保护主管部门出具的救护、查扣证明或公安、海关、工商、质监等执法部门出具的查扣证明。六是按照新修订《野生动物保护法》第</w:t>
                              </w:r>
                              <w:r w:rsidRPr="00025AE0">
                                <w:rPr>
                                  <w:rFonts w:ascii="宋体" w:eastAsia="宋体" w:hAnsi="宋体" w:cs="宋体"/>
                                  <w:color w:val="3D3D3D"/>
                                  <w:kern w:val="0"/>
                                  <w:sz w:val="18"/>
                                  <w:szCs w:val="18"/>
                                </w:rPr>
                                <w:lastRenderedPageBreak/>
                                <w:t>二十八条、第三十三条规定，野外来源和人工繁育所获国家重点保护野生动物均须按具体情形凭相应的凭证运输。七是按照法律法规规定，加大对违法运输、携带、寄递国家重点保护野生动物的查处力度。</w:t>
                              </w:r>
                            </w:p>
                          </w:tc>
                        </w:tr>
                        <w:tr w:rsidR="00025AE0" w:rsidRPr="00025AE0" w:rsidTr="00B1294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出省木材运输证核发</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省林业厅</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一是从源头上加强管理，防止乱砍滥伐行为，对林木采伐、运输环节的证书核发和执行情况进行抽查。二是县林业主管部门要按照国家林业局木材运输证核发管理的有关规定，切实加强木材运输证的签发和管理工作，并使用全国木材运输管理系统进行核发，切实维护木材运输证的权威性。三是省市县林业主管部门要按照管辖权限，认真追溯违法运输木材的有关问题，查明违法运输的原因，依法追究有关单位和责任人的责任。三是按照法律法规规定，加大对违法运输木材行为的查处力度。</w:t>
                              </w:r>
                            </w:p>
                          </w:tc>
                        </w:tr>
                        <w:tr w:rsidR="00025AE0" w:rsidRPr="00025AE0" w:rsidTr="00B1294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对外承包工程资格许可</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省商务厅</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取消审批后，全面做好对外承包工程资格审批取消</w:t>
                              </w:r>
                              <w:proofErr w:type="gramStart"/>
                              <w:r w:rsidRPr="00025AE0">
                                <w:rPr>
                                  <w:rFonts w:ascii="宋体" w:eastAsia="宋体" w:hAnsi="宋体" w:cs="宋体"/>
                                  <w:color w:val="3D3D3D"/>
                                  <w:kern w:val="0"/>
                                  <w:sz w:val="18"/>
                                  <w:szCs w:val="18"/>
                                </w:rPr>
                                <w:t>后政策</w:t>
                              </w:r>
                              <w:proofErr w:type="gramEnd"/>
                              <w:r w:rsidRPr="00025AE0">
                                <w:rPr>
                                  <w:rFonts w:ascii="宋体" w:eastAsia="宋体" w:hAnsi="宋体" w:cs="宋体"/>
                                  <w:color w:val="3D3D3D"/>
                                  <w:kern w:val="0"/>
                                  <w:sz w:val="18"/>
                                  <w:szCs w:val="18"/>
                                </w:rPr>
                                <w:t>衔接工作，切实转变管理方式，加强事中事后监管，按照“备案+负面清单”管理模式，对所辖企业备案项目信息开展“双随机、</w:t>
                              </w:r>
                              <w:proofErr w:type="gramStart"/>
                              <w:r w:rsidRPr="00025AE0">
                                <w:rPr>
                                  <w:rFonts w:ascii="宋体" w:eastAsia="宋体" w:hAnsi="宋体" w:cs="宋体"/>
                                  <w:color w:val="3D3D3D"/>
                                  <w:kern w:val="0"/>
                                  <w:sz w:val="18"/>
                                  <w:szCs w:val="18"/>
                                </w:rPr>
                                <w:t>一</w:t>
                              </w:r>
                              <w:proofErr w:type="gramEnd"/>
                              <w:r w:rsidRPr="00025AE0">
                                <w:rPr>
                                  <w:rFonts w:ascii="宋体" w:eastAsia="宋体" w:hAnsi="宋体" w:cs="宋体"/>
                                  <w:color w:val="3D3D3D"/>
                                  <w:kern w:val="0"/>
                                  <w:sz w:val="18"/>
                                  <w:szCs w:val="18"/>
                                </w:rPr>
                                <w:t>公开”抽查，严格按照《对外承包工程管理条例》，对违法违规行为列入对外投资合作领域不良信用记录。</w:t>
                              </w:r>
                            </w:p>
                          </w:tc>
                        </w:tr>
                        <w:tr w:rsidR="00025AE0" w:rsidRPr="00025AE0" w:rsidTr="00B1294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指定企业发票印制 (国税管理范围除外)</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省地方税务局</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取消审批后，地税部门营业税涉及的发票全部改为增值税发票，由国税部门按照增值税发票的相关管理要求加强事中事后监管，地税部门配合国税部门做好有关工作。</w:t>
                              </w:r>
                            </w:p>
                          </w:tc>
                        </w:tr>
                        <w:tr w:rsidR="00025AE0" w:rsidRPr="00025AE0" w:rsidTr="00B1294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电影制片单位设立、变更、终止审批</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省新闻出版广电局</w:t>
                              </w:r>
                            </w:p>
                          </w:tc>
                          <w:tc>
                            <w:tcPr>
                              <w:tcW w:w="0" w:type="auto"/>
                              <w:tcBorders>
                                <w:top w:val="single" w:sz="4" w:space="0" w:color="auto"/>
                                <w:left w:val="single" w:sz="4" w:space="0" w:color="auto"/>
                                <w:bottom w:val="single" w:sz="4" w:space="0" w:color="auto"/>
                                <w:right w:val="single" w:sz="4" w:space="0" w:color="auto"/>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一是从管企业改为重点管电影内容，加强完善电影内容的审查制度。未经审查和审查不合格的电影，不准发行、放映，严把电影内容审查关。二是强化市场监管措施，加大对电影内容的抽查力度。三是建立信用体系，实行“黑名单”制度，加强社会监督，对违法违规行为加大处罚力度。</w:t>
                              </w:r>
                            </w:p>
                          </w:tc>
                        </w:tr>
                      </w:tbl>
                      <w:p w:rsidR="00E84B2D" w:rsidRDefault="00E84B2D" w:rsidP="00E84B2D">
                        <w:pPr>
                          <w:widowControl/>
                          <w:spacing w:line="330" w:lineRule="atLeast"/>
                          <w:jc w:val="center"/>
                          <w:rPr>
                            <w:rFonts w:ascii="宋体" w:eastAsia="宋体" w:hAnsi="宋体" w:cs="宋体"/>
                            <w:color w:val="3D3D3D"/>
                            <w:kern w:val="0"/>
                            <w:sz w:val="18"/>
                            <w:szCs w:val="18"/>
                          </w:rPr>
                        </w:pP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（二）取消部分内容的行政许可项目目录（8项）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0"/>
                          <w:gridCol w:w="1398"/>
                          <w:gridCol w:w="1117"/>
                          <w:gridCol w:w="446"/>
                          <w:gridCol w:w="3058"/>
                          <w:gridCol w:w="993"/>
                        </w:tblGrid>
                        <w:tr w:rsidR="0031576B" w:rsidRPr="0031576B" w:rsidTr="0031576B">
                          <w:trPr>
                            <w:tblCellSpacing w:w="0" w:type="dxa"/>
                          </w:trPr>
                          <w:tc>
                            <w:tcPr>
                              <w:tcW w:w="900" w:type="dxa"/>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0" w:type="auto"/>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取消审批内容</w:t>
                              </w:r>
                            </w:p>
                          </w:tc>
                          <w:tc>
                            <w:tcPr>
                              <w:tcW w:w="0" w:type="auto"/>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w:t>
                              </w:r>
                              <w:r w:rsidRPr="00025AE0">
                                <w:rPr>
                                  <w:rFonts w:ascii="宋体" w:eastAsia="宋体" w:hAnsi="宋体" w:cs="宋体"/>
                                  <w:color w:val="3D3D3D"/>
                                  <w:kern w:val="0"/>
                                  <w:sz w:val="18"/>
                                  <w:szCs w:val="18"/>
                                </w:rPr>
                                <w:br/>
                                <w:t>机关</w:t>
                              </w:r>
                            </w:p>
                          </w:tc>
                          <w:tc>
                            <w:tcPr>
                              <w:tcW w:w="0" w:type="auto"/>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w:t>
                              </w:r>
                              <w:r w:rsidRPr="00025AE0">
                                <w:rPr>
                                  <w:rFonts w:ascii="宋体" w:eastAsia="宋体" w:hAnsi="宋体" w:cs="宋体"/>
                                  <w:color w:val="3D3D3D"/>
                                  <w:kern w:val="0"/>
                                  <w:sz w:val="18"/>
                                  <w:szCs w:val="18"/>
                                </w:rPr>
                                <w:br/>
                                <w:t>监管措施</w:t>
                              </w:r>
                            </w:p>
                          </w:tc>
                          <w:tc>
                            <w:tcPr>
                              <w:tcW w:w="0" w:type="auto"/>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备注</w:t>
                              </w:r>
                            </w:p>
                          </w:tc>
                        </w:tr>
                        <w:tr w:rsidR="0031576B" w:rsidRPr="0031576B" w:rsidTr="0031576B">
                          <w:trPr>
                            <w:tblCellSpacing w:w="0" w:type="dxa"/>
                          </w:trPr>
                          <w:tc>
                            <w:tcPr>
                              <w:tcW w:w="0" w:type="auto"/>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中外合作职业培训机构的设立、分立、合并、变更、终止及聘任校长或主要行政责任人审批</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聘任校长或主要行政责任人审批</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省人力资源和社会保障厅</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取消审批后，省</w:t>
                              </w:r>
                              <w:proofErr w:type="gramStart"/>
                              <w:r w:rsidRPr="00025AE0">
                                <w:rPr>
                                  <w:rFonts w:ascii="宋体" w:eastAsia="宋体" w:hAnsi="宋体" w:cs="宋体"/>
                                  <w:color w:val="3D3D3D"/>
                                  <w:kern w:val="0"/>
                                  <w:sz w:val="18"/>
                                  <w:szCs w:val="18"/>
                                </w:rPr>
                                <w:t>人社厅</w:t>
                              </w:r>
                              <w:proofErr w:type="gramEnd"/>
                              <w:r w:rsidRPr="00025AE0">
                                <w:rPr>
                                  <w:rFonts w:ascii="宋体" w:eastAsia="宋体" w:hAnsi="宋体" w:cs="宋体"/>
                                  <w:color w:val="3D3D3D"/>
                                  <w:kern w:val="0"/>
                                  <w:sz w:val="18"/>
                                  <w:szCs w:val="18"/>
                                </w:rPr>
                                <w:t>将</w:t>
                              </w:r>
                              <w:proofErr w:type="gramStart"/>
                              <w:r w:rsidRPr="00025AE0">
                                <w:rPr>
                                  <w:rFonts w:ascii="宋体" w:eastAsia="宋体" w:hAnsi="宋体" w:cs="宋体"/>
                                  <w:color w:val="3D3D3D"/>
                                  <w:kern w:val="0"/>
                                  <w:sz w:val="18"/>
                                  <w:szCs w:val="18"/>
                                </w:rPr>
                                <w:t>落实人社部</w:t>
                              </w:r>
                              <w:proofErr w:type="gramEnd"/>
                              <w:r w:rsidRPr="00025AE0">
                                <w:rPr>
                                  <w:rFonts w:ascii="宋体" w:eastAsia="宋体" w:hAnsi="宋体" w:cs="宋体"/>
                                  <w:color w:val="3D3D3D"/>
                                  <w:kern w:val="0"/>
                                  <w:sz w:val="18"/>
                                  <w:szCs w:val="18"/>
                                </w:rPr>
                                <w:t>有关要求，按照《中华人民共和国中外合作办学条例》中关于“中外合作职业培训机构聘任校长或主要行政责任人”的各项规范，加强事中事后监管。</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 </w:t>
                              </w:r>
                            </w:p>
                          </w:tc>
                        </w:tr>
                        <w:tr w:rsidR="0031576B" w:rsidRPr="0031576B" w:rsidTr="0031576B">
                          <w:trPr>
                            <w:tblCellSpacing w:w="0" w:type="dxa"/>
                          </w:trPr>
                          <w:tc>
                            <w:tcPr>
                              <w:tcW w:w="0" w:type="auto"/>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2</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建设项目(</w:t>
                              </w:r>
                              <w:proofErr w:type="gramStart"/>
                              <w:r w:rsidRPr="00025AE0">
                                <w:rPr>
                                  <w:rFonts w:ascii="宋体" w:eastAsia="宋体" w:hAnsi="宋体" w:cs="宋体"/>
                                  <w:color w:val="3D3D3D"/>
                                  <w:kern w:val="0"/>
                                  <w:sz w:val="18"/>
                                  <w:szCs w:val="18"/>
                                </w:rPr>
                                <w:t>含核与</w:t>
                              </w:r>
                              <w:proofErr w:type="gramEnd"/>
                              <w:r w:rsidRPr="00025AE0">
                                <w:rPr>
                                  <w:rFonts w:ascii="宋体" w:eastAsia="宋体" w:hAnsi="宋体" w:cs="宋体"/>
                                  <w:color w:val="3D3D3D"/>
                                  <w:kern w:val="0"/>
                                  <w:sz w:val="18"/>
                                  <w:szCs w:val="18"/>
                                </w:rPr>
                                <w:t>辐射类)环境影响</w:t>
                              </w:r>
                              <w:r w:rsidRPr="00025AE0">
                                <w:rPr>
                                  <w:rFonts w:ascii="宋体" w:eastAsia="宋体" w:hAnsi="宋体" w:cs="宋体"/>
                                  <w:color w:val="3D3D3D"/>
                                  <w:kern w:val="0"/>
                                  <w:sz w:val="18"/>
                                  <w:szCs w:val="18"/>
                                </w:rPr>
                                <w:lastRenderedPageBreak/>
                                <w:t>报告书(表)、环境影响登记表的审批及竣工验收</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环保设施竣工验收</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县级以上</w:t>
                              </w:r>
                              <w:r w:rsidRPr="00025AE0">
                                <w:rPr>
                                  <w:rFonts w:ascii="宋体" w:eastAsia="宋体" w:hAnsi="宋体" w:cs="宋体"/>
                                  <w:color w:val="3D3D3D"/>
                                  <w:kern w:val="0"/>
                                  <w:sz w:val="18"/>
                                  <w:szCs w:val="18"/>
                                </w:rPr>
                                <w:lastRenderedPageBreak/>
                                <w:t>人民政府环境保护行政主管部门</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取消审批后，通过制定配套规则、加强培训和考核通报等方式，加强对取</w:t>
                              </w:r>
                              <w:r w:rsidRPr="00025AE0">
                                <w:rPr>
                                  <w:rFonts w:ascii="宋体" w:eastAsia="宋体" w:hAnsi="宋体" w:cs="宋体"/>
                                  <w:color w:val="3D3D3D"/>
                                  <w:kern w:val="0"/>
                                  <w:sz w:val="18"/>
                                  <w:szCs w:val="18"/>
                                </w:rPr>
                                <w:lastRenderedPageBreak/>
                                <w:t>消审批后该领域的后续监管，及时了解掌握存在的卡点、难点、堵点问题，有针对性地提出解决措施，加大政策精准服务和技术全面培训力度，确保取消后的权力事项所对应的环境管理工作持续顺利进行。</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 </w:t>
                              </w:r>
                            </w:p>
                          </w:tc>
                        </w:tr>
                        <w:tr w:rsidR="0031576B" w:rsidRPr="0031576B" w:rsidTr="0031576B">
                          <w:trPr>
                            <w:tblCellSpacing w:w="0" w:type="dxa"/>
                          </w:trPr>
                          <w:tc>
                            <w:tcPr>
                              <w:tcW w:w="0" w:type="auto"/>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3</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建设项目(</w:t>
                              </w:r>
                              <w:proofErr w:type="gramStart"/>
                              <w:r w:rsidRPr="00025AE0">
                                <w:rPr>
                                  <w:rFonts w:ascii="宋体" w:eastAsia="宋体" w:hAnsi="宋体" w:cs="宋体"/>
                                  <w:color w:val="3D3D3D"/>
                                  <w:kern w:val="0"/>
                                  <w:sz w:val="18"/>
                                  <w:szCs w:val="18"/>
                                </w:rPr>
                                <w:t>含核与</w:t>
                              </w:r>
                              <w:proofErr w:type="gramEnd"/>
                              <w:r w:rsidRPr="00025AE0">
                                <w:rPr>
                                  <w:rFonts w:ascii="宋体" w:eastAsia="宋体" w:hAnsi="宋体" w:cs="宋体"/>
                                  <w:color w:val="3D3D3D"/>
                                  <w:kern w:val="0"/>
                                  <w:sz w:val="18"/>
                                  <w:szCs w:val="18"/>
                                </w:rPr>
                                <w:t>辐射类)环境影响报告书(表)、环境影响登记表的审批及竣工验收</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环境影响登记表的审批</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县级以上人民政府环境保护行政主管部门</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通过制定配套规则、加强培训和考核通报等方式，加强对取消审批后该领域的后续监管，及时了解掌握存在的卡点、难点、堵点问题，有针对性地提出解决措施，加大政策精准服务和技术全面培训力度，确保取消后的权力事项所对应的环境管理工作持续顺利进行。</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改为备案制管理事项</w:t>
                              </w:r>
                            </w:p>
                          </w:tc>
                        </w:tr>
                        <w:tr w:rsidR="0031576B" w:rsidRPr="0031576B" w:rsidTr="0031576B">
                          <w:trPr>
                            <w:tblCellSpacing w:w="0" w:type="dxa"/>
                          </w:trPr>
                          <w:tc>
                            <w:tcPr>
                              <w:tcW w:w="0" w:type="auto"/>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4</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职业健康检查、职业病诊断机构资质审批</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职业健康检查</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省卫生和计划生育委员会</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取消审批后，省卫生计生委将按照国家法律法规的规定和国家卫生计生委制定的管理办法，加强对职业健康检查工作的事中事后监管，依法查处违法行为。</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 </w:t>
                              </w:r>
                            </w:p>
                          </w:tc>
                        </w:tr>
                        <w:tr w:rsidR="0031576B" w:rsidRPr="0031576B" w:rsidTr="0031576B">
                          <w:trPr>
                            <w:tblCellSpacing w:w="0" w:type="dxa"/>
                          </w:trPr>
                          <w:tc>
                            <w:tcPr>
                              <w:tcW w:w="0" w:type="auto"/>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5</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导游证、临时导游证核发</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临时导游证核发</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省旅游发展委</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省旅游发展委将按照国家旅游局有关规定，推进行政权力公开运行，提高政务服务效率和质量。严格落实部门职责，明确工作流程，强化事中事后监管，加强对旅游行政审批人员的业务培训，进一步提高行政审批水平和审批效率，规范旅游行政审批行为。 </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 </w:t>
                              </w:r>
                            </w:p>
                          </w:tc>
                        </w:tr>
                        <w:tr w:rsidR="0031576B" w:rsidRPr="0031576B" w:rsidTr="0031576B">
                          <w:trPr>
                            <w:tblCellSpacing w:w="0" w:type="dxa"/>
                          </w:trPr>
                          <w:tc>
                            <w:tcPr>
                              <w:tcW w:w="0" w:type="auto"/>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6</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生产经营单位新(改、扩)建设项目(包括可能产生职业病的项目)安全设施(包括职业病防护设施)设计审查和职业病防护设施的竣工验收审批</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职业病危害较重和严重的新建、扩建、改建建设项目和技术改造、技术引进项目（除煤矿外）职业病危害预评价报告审核</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县级以上人民政府安全生产监督管理部门</w:t>
                              </w:r>
                            </w:p>
                          </w:tc>
                          <w:tc>
                            <w:tcPr>
                              <w:tcW w:w="0" w:type="auto"/>
                              <w:vMerge w:val="restart"/>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一是及时下发通知停止审批受理，对做好事中事后监管和监督检查进行了强调要求。二是加强日常检查。取消审批后，及时将对建设项目职业病防护设施“三同时”的落实工作，调整到事中事后监管，在各类日常职业健康监管检查中，将企业自行组织开展建设项目职业病防护设施“三同时”工作的情况，作为重点</w:t>
                              </w:r>
                              <w:r w:rsidRPr="00025AE0">
                                <w:rPr>
                                  <w:rFonts w:ascii="宋体" w:eastAsia="宋体" w:hAnsi="宋体" w:cs="宋体"/>
                                  <w:color w:val="3D3D3D"/>
                                  <w:kern w:val="0"/>
                                  <w:sz w:val="18"/>
                                  <w:szCs w:val="18"/>
                                </w:rPr>
                                <w:lastRenderedPageBreak/>
                                <w:t>内容进行检查。三是完善制度规定。国家安监总局下发《建设项目职</w:t>
                              </w:r>
                              <w:r w:rsidR="00603142">
                                <w:rPr>
                                  <w:rFonts w:ascii="宋体" w:eastAsia="宋体" w:hAnsi="宋体" w:cs="宋体" w:hint="eastAsia"/>
                                  <w:color w:val="3D3D3D"/>
                                  <w:kern w:val="0"/>
                                  <w:sz w:val="18"/>
                                  <w:szCs w:val="18"/>
                                </w:rPr>
                                <w:t>业</w:t>
                              </w:r>
                              <w:r w:rsidRPr="00025AE0">
                                <w:rPr>
                                  <w:rFonts w:ascii="宋体" w:eastAsia="宋体" w:hAnsi="宋体" w:cs="宋体"/>
                                  <w:color w:val="3D3D3D"/>
                                  <w:kern w:val="0"/>
                                  <w:sz w:val="18"/>
                                  <w:szCs w:val="18"/>
                                </w:rPr>
                                <w:t>病防护设施“三同时”监督管理规定》（总局第90号令）后，下发通知，对做好“三同时”事中事后监管进行了细化规定，并制订了分级分类监管的实施办法。</w:t>
                              </w:r>
                            </w:p>
                          </w:tc>
                          <w:tc>
                            <w:tcPr>
                              <w:tcW w:w="0" w:type="auto"/>
                              <w:vMerge w:val="restart"/>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项目名称调整为“生产经营单位新（改、扩）建设项目安全设施设计审查”</w:t>
                              </w:r>
                            </w:p>
                          </w:tc>
                        </w:tr>
                        <w:tr w:rsidR="0031576B" w:rsidRPr="0031576B" w:rsidTr="0031576B">
                          <w:trPr>
                            <w:tblCellSpacing w:w="0" w:type="dxa"/>
                          </w:trPr>
                          <w:tc>
                            <w:tcPr>
                              <w:tcW w:w="0" w:type="auto"/>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7</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生产经营单位新(改、扩)建设项目(包括可能产生职业病的项目)安全设施(包括职业病防护设施)设计审查和职业病防护设施的竣工验收审批</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职业病危害较重和严重的建设项目（除煤矿外）的防护设施的竣工验收</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县级以上人民政府安全生产监督管理部门</w:t>
                              </w:r>
                            </w:p>
                          </w:tc>
                          <w:tc>
                            <w:tcPr>
                              <w:tcW w:w="0" w:type="auto"/>
                              <w:vMerge/>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c>
                            <w:tcPr>
                              <w:tcW w:w="0" w:type="auto"/>
                              <w:vMerge/>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r>
                        <w:tr w:rsidR="0031576B" w:rsidRPr="0031576B" w:rsidTr="0031576B">
                          <w:trPr>
                            <w:tblCellSpacing w:w="0" w:type="dxa"/>
                          </w:trPr>
                          <w:tc>
                            <w:tcPr>
                              <w:tcW w:w="0" w:type="auto"/>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8</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生产经营单位新(改、扩)建设项目(包括可能产生职业病的项目)安全设施(包括职业病防护设施)设计审查和职业病防护设施的竣工验收审批</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职业病危害严重的建设项目（除煤矿外）的防护设施的设计审查</w:t>
                              </w:r>
                            </w:p>
                          </w:tc>
                          <w:tc>
                            <w:tcPr>
                              <w:tcW w:w="0" w:type="auto"/>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县级以上人民政府安全生产监督管理部门</w:t>
                              </w:r>
                            </w:p>
                          </w:tc>
                          <w:tc>
                            <w:tcPr>
                              <w:tcW w:w="0" w:type="auto"/>
                              <w:vMerge/>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c>
                            <w:tcPr>
                              <w:tcW w:w="0" w:type="auto"/>
                              <w:vMerge/>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r>
                      </w:tbl>
                      <w:p w:rsidR="00E84B2D" w:rsidRDefault="00E84B2D" w:rsidP="00E84B2D">
                        <w:pPr>
                          <w:widowControl/>
                          <w:spacing w:line="330" w:lineRule="atLeast"/>
                          <w:jc w:val="center"/>
                          <w:rPr>
                            <w:rFonts w:ascii="宋体" w:eastAsia="宋体" w:hAnsi="宋体" w:cs="宋体"/>
                            <w:color w:val="3D3D3D"/>
                            <w:kern w:val="0"/>
                            <w:sz w:val="18"/>
                            <w:szCs w:val="18"/>
                          </w:rPr>
                        </w:pP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（三）取消已暂不列入省级行政审批项目的事项目录（1项）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0"/>
                          <w:gridCol w:w="497"/>
                          <w:gridCol w:w="296"/>
                          <w:gridCol w:w="6213"/>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加强事中事后监管措施</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建立固定狩猎场所审批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省林业厅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取消审批后，一是强化现行“狩猎证核发”和“特许猎捕证核发”审批。对</w:t>
                              </w:r>
                              <w:proofErr w:type="gramStart"/>
                              <w:r w:rsidRPr="00025AE0">
                                <w:rPr>
                                  <w:rFonts w:ascii="宋体" w:eastAsia="宋体" w:hAnsi="宋体" w:cs="宋体"/>
                                  <w:color w:val="3D3D3D"/>
                                  <w:kern w:val="0"/>
                                  <w:sz w:val="18"/>
                                  <w:szCs w:val="18"/>
                                </w:rPr>
                                <w:t>猎捕非</w:t>
                              </w:r>
                              <w:proofErr w:type="gramEnd"/>
                              <w:r w:rsidRPr="00025AE0">
                                <w:rPr>
                                  <w:rFonts w:ascii="宋体" w:eastAsia="宋体" w:hAnsi="宋体" w:cs="宋体"/>
                                  <w:color w:val="3D3D3D"/>
                                  <w:kern w:val="0"/>
                                  <w:sz w:val="18"/>
                                  <w:szCs w:val="18"/>
                                </w:rPr>
                                <w:t>国家重点保护野生动物的，在县级以上地方人民政府林业主管部门核发狩猎证时，注明开展猎捕活动的场所、范围、时间、种类、数量等；对猎捕国家重点保护野生动物的，在省林业厅核发特许猎捕证时，注明开展猎捕活动的场所、范围、时间、种类、数量等。二是加强野生动物资源监测工作，掌握区域野生动物资源状况。由林业主管部门按照规定组织开展资源调查，及时掌握拟猎捕野生动物资源状况，根据该物种的资源状况依法、规范、科学核发狩猎证、特许猎捕证。</w:t>
                              </w:r>
                            </w:p>
                          </w:tc>
                        </w:tr>
                      </w:tbl>
                      <w:p w:rsidR="00E84B2D" w:rsidRDefault="00E84B2D" w:rsidP="00E84B2D">
                        <w:pPr>
                          <w:widowControl/>
                          <w:spacing w:line="330" w:lineRule="atLeast"/>
                          <w:jc w:val="center"/>
                          <w:rPr>
                            <w:rFonts w:ascii="宋体" w:eastAsia="宋体" w:hAnsi="宋体" w:cs="宋体"/>
                            <w:color w:val="3D3D3D"/>
                            <w:kern w:val="0"/>
                            <w:sz w:val="18"/>
                            <w:szCs w:val="18"/>
                          </w:rPr>
                        </w:pP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（四）合并实施行政许可项目目录（9项）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9"/>
                          <w:gridCol w:w="969"/>
                          <w:gridCol w:w="779"/>
                          <w:gridCol w:w="599"/>
                          <w:gridCol w:w="4660"/>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原项目名称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合并后</w:t>
                              </w:r>
                              <w:r w:rsidRPr="00025AE0">
                                <w:rPr>
                                  <w:rFonts w:ascii="宋体" w:eastAsia="宋体" w:hAnsi="宋体" w:cs="宋体"/>
                                  <w:color w:val="3D3D3D"/>
                                  <w:kern w:val="0"/>
                                  <w:sz w:val="18"/>
                                  <w:szCs w:val="18"/>
                                </w:rPr>
                                <w:br/>
                                <w:t>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加强事中事后监管措施</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外国人入境就业许可</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外国人来华工作许可</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省人力资源和</w:t>
                              </w:r>
                              <w:r w:rsidRPr="00025AE0">
                                <w:rPr>
                                  <w:rFonts w:ascii="宋体" w:eastAsia="宋体" w:hAnsi="宋体" w:cs="宋体"/>
                                  <w:color w:val="3D3D3D"/>
                                  <w:kern w:val="0"/>
                                  <w:sz w:val="18"/>
                                  <w:szCs w:val="18"/>
                                </w:rPr>
                                <w:lastRenderedPageBreak/>
                                <w:t>社会保障厅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完善“双随机、</w:t>
                              </w:r>
                              <w:proofErr w:type="gramStart"/>
                              <w:r w:rsidRPr="00025AE0">
                                <w:rPr>
                                  <w:rFonts w:ascii="宋体" w:eastAsia="宋体" w:hAnsi="宋体" w:cs="宋体"/>
                                  <w:color w:val="3D3D3D"/>
                                  <w:kern w:val="0"/>
                                  <w:sz w:val="18"/>
                                  <w:szCs w:val="18"/>
                                </w:rPr>
                                <w:t>一</w:t>
                              </w:r>
                              <w:proofErr w:type="gramEnd"/>
                              <w:r w:rsidRPr="00025AE0">
                                <w:rPr>
                                  <w:rFonts w:ascii="宋体" w:eastAsia="宋体" w:hAnsi="宋体" w:cs="宋体"/>
                                  <w:color w:val="3D3D3D"/>
                                  <w:kern w:val="0"/>
                                  <w:sz w:val="18"/>
                                  <w:szCs w:val="18"/>
                                </w:rPr>
                                <w:t>公开”工作机制，加强外国人来华工作领域的政务诚信、商务诚信和个人诚信体系建设，建立用</w:t>
                              </w:r>
                              <w:r w:rsidRPr="00025AE0">
                                <w:rPr>
                                  <w:rFonts w:ascii="宋体" w:eastAsia="宋体" w:hAnsi="宋体" w:cs="宋体"/>
                                  <w:color w:val="3D3D3D"/>
                                  <w:kern w:val="0"/>
                                  <w:sz w:val="18"/>
                                  <w:szCs w:val="18"/>
                                </w:rPr>
                                <w:lastRenderedPageBreak/>
                                <w:t>人单位、在华工作外国人、受委托专门机构信用记录形成、归集、公示、使用机制，运用大数据加强对市场主体服务监管，健全守信激励和失信惩戒机制。</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外国专家来华工作许可</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省级森林公园设立、变更审批</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省级森林公园设立、变更及总规划审批</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省林业厅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一是省市县林业主管部门要加强引导和服务，引导申请人严格按照省林业</w:t>
                              </w:r>
                              <w:proofErr w:type="gramStart"/>
                              <w:r w:rsidRPr="00025AE0">
                                <w:rPr>
                                  <w:rFonts w:ascii="宋体" w:eastAsia="宋体" w:hAnsi="宋体" w:cs="宋体"/>
                                  <w:color w:val="3D3D3D"/>
                                  <w:kern w:val="0"/>
                                  <w:sz w:val="18"/>
                                  <w:szCs w:val="18"/>
                                </w:rPr>
                                <w:t>厅服务</w:t>
                              </w:r>
                              <w:proofErr w:type="gramEnd"/>
                              <w:r w:rsidRPr="00025AE0">
                                <w:rPr>
                                  <w:rFonts w:ascii="宋体" w:eastAsia="宋体" w:hAnsi="宋体" w:cs="宋体"/>
                                  <w:color w:val="3D3D3D"/>
                                  <w:kern w:val="0"/>
                                  <w:sz w:val="18"/>
                                  <w:szCs w:val="18"/>
                                </w:rPr>
                                <w:t>指南公布的要求提交申请材料，做好服务工作。二是加强监督检查，强化随机抽查，对依法获得许可的被许可人进行监督检查，发现问题及时纠正。同时，为做好服务，在监督检查过程中检查单位应当认真听取被许可人提出的意见和建议。</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省级森林公园总体规划审批</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临时占用林地审批</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建设项目使用林地审批</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县级以上人民政府林业行政主管部门</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一是严格落实林地分级管理制度，对符合林地保护利用规划的，合理和集约节约使用林地</w:t>
                              </w:r>
                              <w:r w:rsidR="00603142">
                                <w:rPr>
                                  <w:rFonts w:ascii="宋体" w:eastAsia="宋体" w:hAnsi="宋体" w:cs="宋体"/>
                                  <w:color w:val="3D3D3D"/>
                                  <w:kern w:val="0"/>
                                  <w:sz w:val="18"/>
                                  <w:szCs w:val="18"/>
                                </w:rPr>
                                <w:t>，严格限制使用生态区位重要和生态脆弱地区的林地。二是加强与发改</w:t>
                              </w:r>
                              <w:r w:rsidRPr="00025AE0">
                                <w:rPr>
                                  <w:rFonts w:ascii="宋体" w:eastAsia="宋体" w:hAnsi="宋体" w:cs="宋体"/>
                                  <w:color w:val="3D3D3D"/>
                                  <w:kern w:val="0"/>
                                  <w:sz w:val="18"/>
                                  <w:szCs w:val="18"/>
                                </w:rPr>
                                <w:t>、住建、环保、国土等部门的沟通协作，通过部门协同合作有效推进建设项目使用林地事中、事后监管工作。三是加强监督检查，强化随机抽查，对依法获得许可的被许可人进行监督检查，发现问题及时纠正。同时，为做好服务，在监督检查过程中检查单位应当认真听取被许可人提出的意见和建议。四是经审核同意使用林地的建设项目，依照有关规定批准用地后，县级以上人民政府林业主管部门应当及时变更林地管理档案。</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征收、征用或占用林地审核</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森林经营单位修筑直接为林业生产服务工程设施占用林地审批</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保健食品生产许可</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食品（含保健食品、食品添加剂）生产许可</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县级以上人民政府食品药品监督管理部门</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一是全面实施网络化监管。对食品生产经营企业实施网格化监管，明确日常监督检查人员，检查职责落实到人，并且在食品生产许可证或者食品安全信息公示栏上予以注明。二是对食品生产经营重点企业，由省级或由市、县（区）联合开展飞行检查。三是针对高风险食品、不合格比例较高的食品、不合格比例较高的项目开展专项抽检。四是以问题为导向，对乳制品、婴幼儿配方乳粉、保健食品、食用植物油、白酒、饮用纯净水、月饼糕点、肉制品、食品添加剂等重点食品开展专项整治。</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D3BE7">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食品生产许可</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
                          </w:tc>
                        </w:tr>
                      </w:tbl>
                      <w:p w:rsidR="00E84B2D" w:rsidRDefault="00E84B2D" w:rsidP="00E84B2D">
                        <w:pPr>
                          <w:widowControl/>
                          <w:spacing w:line="330" w:lineRule="atLeast"/>
                          <w:jc w:val="center"/>
                          <w:rPr>
                            <w:rFonts w:ascii="宋体" w:eastAsia="宋体" w:hAnsi="宋体" w:cs="宋体"/>
                            <w:color w:val="3D3D3D"/>
                            <w:kern w:val="0"/>
                            <w:sz w:val="18"/>
                            <w:szCs w:val="18"/>
                          </w:rPr>
                        </w:pP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（五）向市州（县市区）下放行政许可项目目录（4项）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0"/>
                          <w:gridCol w:w="1035"/>
                          <w:gridCol w:w="482"/>
                          <w:gridCol w:w="1424"/>
                          <w:gridCol w:w="2400"/>
                          <w:gridCol w:w="1665"/>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proofErr w:type="gramStart"/>
                              <w:r w:rsidRPr="00025AE0">
                                <w:rPr>
                                  <w:rFonts w:ascii="宋体" w:eastAsia="宋体" w:hAnsi="宋体" w:cs="宋体"/>
                                  <w:color w:val="3D3D3D"/>
                                  <w:kern w:val="0"/>
                                  <w:sz w:val="18"/>
                                  <w:szCs w:val="18"/>
                                </w:rPr>
                                <w:t>原实施</w:t>
                              </w:r>
                              <w:proofErr w:type="gramEnd"/>
                              <w:r w:rsidRPr="00025AE0">
                                <w:rPr>
                                  <w:rFonts w:ascii="宋体" w:eastAsia="宋体" w:hAnsi="宋体" w:cs="宋体"/>
                                  <w:color w:val="3D3D3D"/>
                                  <w:kern w:val="0"/>
                                  <w:sz w:val="18"/>
                                  <w:szCs w:val="18"/>
                                </w:rPr>
                                <w:t>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proofErr w:type="gramStart"/>
                              <w:r w:rsidRPr="00025AE0">
                                <w:rPr>
                                  <w:rFonts w:ascii="宋体" w:eastAsia="宋体" w:hAnsi="宋体" w:cs="宋体"/>
                                  <w:color w:val="3D3D3D"/>
                                  <w:kern w:val="0"/>
                                  <w:sz w:val="18"/>
                                  <w:szCs w:val="18"/>
                                </w:rPr>
                                <w:t>现实施</w:t>
                              </w:r>
                              <w:proofErr w:type="gramEnd"/>
                              <w:r w:rsidRPr="00025AE0">
                                <w:rPr>
                                  <w:rFonts w:ascii="宋体" w:eastAsia="宋体" w:hAnsi="宋体" w:cs="宋体"/>
                                  <w:color w:val="3D3D3D"/>
                                  <w:kern w:val="0"/>
                                  <w:sz w:val="18"/>
                                  <w:szCs w:val="18"/>
                                </w:rPr>
                                <w:t>机关</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w:t>
                              </w:r>
                              <w:r w:rsidRPr="00025AE0">
                                <w:rPr>
                                  <w:rFonts w:ascii="宋体" w:eastAsia="宋体" w:hAnsi="宋体" w:cs="宋体"/>
                                  <w:color w:val="3D3D3D"/>
                                  <w:kern w:val="0"/>
                                  <w:sz w:val="18"/>
                                  <w:szCs w:val="18"/>
                                </w:rPr>
                                <w:br/>
                                <w:t>监管措施</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备注</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民办职业培训学校的设立、分设、合并、变</w:t>
                              </w:r>
                              <w:r w:rsidRPr="00025AE0">
                                <w:rPr>
                                  <w:rFonts w:ascii="宋体" w:eastAsia="宋体" w:hAnsi="宋体" w:cs="宋体"/>
                                  <w:color w:val="3D3D3D"/>
                                  <w:kern w:val="0"/>
                                  <w:sz w:val="18"/>
                                  <w:szCs w:val="18"/>
                                </w:rPr>
                                <w:lastRenderedPageBreak/>
                                <w:t>更、终止审批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省人力资源和社会</w:t>
                              </w:r>
                              <w:r w:rsidRPr="00025AE0">
                                <w:rPr>
                                  <w:rFonts w:ascii="宋体" w:eastAsia="宋体" w:hAnsi="宋体" w:cs="宋体"/>
                                  <w:color w:val="3D3D3D"/>
                                  <w:kern w:val="0"/>
                                  <w:sz w:val="18"/>
                                  <w:szCs w:val="18"/>
                                </w:rPr>
                                <w:lastRenderedPageBreak/>
                                <w:t>保障厅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市（州）、县（市、区）人民政府人力资源和社会保障行政部门</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下放审批后，省人力资源和社会保障厅负责民办职业培训学校审批工作的统筹指导，市、县按照“谁审批、谁监管”的</w:t>
                              </w:r>
                              <w:r w:rsidRPr="00025AE0">
                                <w:rPr>
                                  <w:rFonts w:ascii="宋体" w:eastAsia="宋体" w:hAnsi="宋体" w:cs="宋体"/>
                                  <w:color w:val="3D3D3D"/>
                                  <w:kern w:val="0"/>
                                  <w:sz w:val="18"/>
                                  <w:szCs w:val="18"/>
                                </w:rPr>
                                <w:lastRenderedPageBreak/>
                                <w:t>原则，加强对民办职业培训学校的监督管理。</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下放审批后，该项目实施机关由“县级以上人民政府人力资源和社会保障行政部门”调整为“市</w:t>
                              </w:r>
                              <w:r w:rsidRPr="00025AE0">
                                <w:rPr>
                                  <w:rFonts w:ascii="宋体" w:eastAsia="宋体" w:hAnsi="宋体" w:cs="宋体"/>
                                  <w:color w:val="3D3D3D"/>
                                  <w:kern w:val="0"/>
                                  <w:sz w:val="18"/>
                                  <w:szCs w:val="18"/>
                                </w:rPr>
                                <w:lastRenderedPageBreak/>
                                <w:t>（州）、县（市、区）人民政府人力资源和社会保障行政部门”。</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建设工程初步设计及重大内容修改审批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省住房和城乡建设厅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市（州）人民政府建设行政主管部门</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下放审批后，省住房和城乡建设厅规范市州建设局开展初步设计审批的工作流程、工作时限、审批范围、前置材料等相关工作要求，加强下放后的初步设计审批工作的业务指导，组织开展培训和学习交流，强化全省勘查设计质量监督检查，抽查初步设计审查审批质量，促进工程勘察设计质量提升。</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非政府投资项目，下放审批后，该项目实施机关由“市（州）以上人民政府建设行政主管部门”调整为“市（州）人民政府建设行政主管部门”。</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公共场所卫生许可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省卫生和计划生育委员会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兰州市卫生和计划生育委员会</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下放审批后，省卫生计生委按照国家法律法规的规定和国家卫生计生委有关要求，加强公共场所事中事后监管，依法查处违法行为。</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下放审批后，该项目实施机关由“县级以上人民政府卫生和计生行政主管部门”调整为“市（州）、县（市、区）人民政府卫生和计生行政主管部门”。</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餐饮服务许可证核发及变更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省食品药品监督管理局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兰州市食品药品监督管理部门</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下放审批后，省食品药品监督管理局不定期对兰州饭店、宁卧庄宾馆和飞天大酒店组织开展食品安全体系检查，对兰州饭店、宁卧庄宾馆和飞天大酒店开展重大活动食品安全保障工作督查，在重大活动保障工作中，督促辖区监管部门对兰州饭店、宁卧庄宾馆和飞天大酒店抽取样品进行快速检验，加强监督抽检。</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下放到兰州市后，并入“食品经营许可证核发”。</w:t>
                              </w:r>
                            </w:p>
                          </w:tc>
                        </w:tr>
                      </w:tbl>
                      <w:p w:rsidR="00E84B2D"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 xml:space="preserve">　　</w:t>
                        </w:r>
                      </w:p>
                      <w:p w:rsidR="00E84B2D" w:rsidRDefault="00E84B2D" w:rsidP="00E84B2D">
                        <w:pPr>
                          <w:widowControl/>
                          <w:spacing w:line="330" w:lineRule="atLeast"/>
                          <w:jc w:val="center"/>
                          <w:rPr>
                            <w:rFonts w:ascii="宋体" w:eastAsia="宋体" w:hAnsi="宋体" w:cs="宋体"/>
                            <w:color w:val="3D3D3D"/>
                            <w:kern w:val="0"/>
                            <w:sz w:val="18"/>
                            <w:szCs w:val="18"/>
                          </w:rPr>
                        </w:pPr>
                      </w:p>
                      <w:p w:rsidR="00E84B2D" w:rsidRDefault="00E84B2D" w:rsidP="00E84B2D">
                        <w:pPr>
                          <w:widowControl/>
                          <w:spacing w:line="330" w:lineRule="atLeast"/>
                          <w:jc w:val="center"/>
                          <w:rPr>
                            <w:rFonts w:ascii="宋体" w:eastAsia="宋体" w:hAnsi="宋体" w:cs="宋体"/>
                            <w:color w:val="3D3D3D"/>
                            <w:kern w:val="0"/>
                            <w:sz w:val="18"/>
                            <w:szCs w:val="18"/>
                          </w:rPr>
                        </w:pPr>
                      </w:p>
                      <w:p w:rsidR="00E84B2D" w:rsidRDefault="00E84B2D" w:rsidP="00E84B2D">
                        <w:pPr>
                          <w:widowControl/>
                          <w:spacing w:line="330" w:lineRule="atLeast"/>
                          <w:jc w:val="center"/>
                          <w:rPr>
                            <w:rFonts w:ascii="宋体" w:eastAsia="宋体" w:hAnsi="宋体" w:cs="宋体"/>
                            <w:color w:val="3D3D3D"/>
                            <w:kern w:val="0"/>
                            <w:sz w:val="18"/>
                            <w:szCs w:val="18"/>
                          </w:rPr>
                        </w:pPr>
                      </w:p>
                      <w:p w:rsidR="00E84B2D" w:rsidRDefault="00E84B2D" w:rsidP="00E84B2D">
                        <w:pPr>
                          <w:widowControl/>
                          <w:spacing w:line="330" w:lineRule="atLeast"/>
                          <w:jc w:val="center"/>
                          <w:rPr>
                            <w:rFonts w:ascii="宋体" w:eastAsia="宋体" w:hAnsi="宋体" w:cs="宋体"/>
                            <w:color w:val="3D3D3D"/>
                            <w:kern w:val="0"/>
                            <w:sz w:val="18"/>
                            <w:szCs w:val="18"/>
                          </w:rPr>
                        </w:pPr>
                      </w:p>
                      <w:p w:rsidR="00E84B2D" w:rsidRDefault="00E84B2D" w:rsidP="00E84B2D">
                        <w:pPr>
                          <w:widowControl/>
                          <w:spacing w:line="330" w:lineRule="atLeast"/>
                          <w:jc w:val="center"/>
                          <w:rPr>
                            <w:rFonts w:ascii="宋体" w:eastAsia="宋体" w:hAnsi="宋体" w:cs="宋体"/>
                            <w:color w:val="3D3D3D"/>
                            <w:kern w:val="0"/>
                            <w:sz w:val="18"/>
                            <w:szCs w:val="18"/>
                          </w:rPr>
                        </w:pP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（六）向市州（县市区）下放部分审批内容行政许可项目目录（5项）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0"/>
                          <w:gridCol w:w="856"/>
                          <w:gridCol w:w="1463"/>
                          <w:gridCol w:w="373"/>
                          <w:gridCol w:w="804"/>
                          <w:gridCol w:w="3510"/>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w:t>
                              </w:r>
                              <w:r w:rsidRPr="00025AE0">
                                <w:rPr>
                                  <w:rFonts w:ascii="宋体" w:eastAsia="宋体" w:hAnsi="宋体" w:cs="宋体"/>
                                  <w:color w:val="3D3D3D"/>
                                  <w:kern w:val="0"/>
                                  <w:sz w:val="18"/>
                                  <w:szCs w:val="18"/>
                                </w:rPr>
                                <w:br/>
                                <w:t>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下放内容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proofErr w:type="gramStart"/>
                              <w:r w:rsidRPr="00025AE0">
                                <w:rPr>
                                  <w:rFonts w:ascii="宋体" w:eastAsia="宋体" w:hAnsi="宋体" w:cs="宋体"/>
                                  <w:color w:val="3D3D3D"/>
                                  <w:kern w:val="0"/>
                                  <w:sz w:val="18"/>
                                  <w:szCs w:val="18"/>
                                </w:rPr>
                                <w:t>原实施</w:t>
                              </w:r>
                              <w:proofErr w:type="gramEnd"/>
                              <w:r w:rsidRPr="00025AE0">
                                <w:rPr>
                                  <w:rFonts w:ascii="宋体" w:eastAsia="宋体" w:hAnsi="宋体" w:cs="宋体"/>
                                  <w:color w:val="3D3D3D"/>
                                  <w:kern w:val="0"/>
                                  <w:sz w:val="18"/>
                                  <w:szCs w:val="18"/>
                                </w:rPr>
                                <w:t>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proofErr w:type="gramStart"/>
                              <w:r w:rsidRPr="00025AE0">
                                <w:rPr>
                                  <w:rFonts w:ascii="宋体" w:eastAsia="宋体" w:hAnsi="宋体" w:cs="宋体"/>
                                  <w:color w:val="3D3D3D"/>
                                  <w:kern w:val="0"/>
                                  <w:sz w:val="18"/>
                                  <w:szCs w:val="18"/>
                                </w:rPr>
                                <w:t>现实施</w:t>
                              </w:r>
                              <w:proofErr w:type="gramEnd"/>
                              <w:r w:rsidRPr="00025AE0">
                                <w:rPr>
                                  <w:rFonts w:ascii="宋体" w:eastAsia="宋体" w:hAnsi="宋体" w:cs="宋体"/>
                                  <w:color w:val="3D3D3D"/>
                                  <w:kern w:val="0"/>
                                  <w:sz w:val="18"/>
                                  <w:szCs w:val="18"/>
                                </w:rPr>
                                <w:t>机关</w:t>
                              </w:r>
                            </w:p>
                          </w:tc>
                          <w:tc>
                            <w:tcPr>
                              <w:tcW w:w="351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加强事中事后监管措施</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社会团体成立、变更、注销登记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城乡社区服务类社会组织登记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省民政厅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县级民政部门</w:t>
                              </w:r>
                            </w:p>
                          </w:tc>
                          <w:tc>
                            <w:tcPr>
                              <w:tcW w:w="351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F13AA8">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下放审批后，省民政厅加强业务指导，按照</w:t>
                              </w:r>
                              <w:r w:rsidR="00F13AA8">
                                <w:rPr>
                                  <w:rFonts w:ascii="宋体" w:eastAsia="宋体" w:hAnsi="宋体" w:cs="宋体" w:hint="eastAsia"/>
                                  <w:color w:val="3D3D3D"/>
                                  <w:kern w:val="0"/>
                                  <w:sz w:val="18"/>
                                  <w:szCs w:val="18"/>
                                </w:rPr>
                                <w:t>“</w:t>
                              </w:r>
                              <w:r w:rsidRPr="00025AE0">
                                <w:rPr>
                                  <w:rFonts w:ascii="宋体" w:eastAsia="宋体" w:hAnsi="宋体" w:cs="宋体"/>
                                  <w:color w:val="3D3D3D"/>
                                  <w:kern w:val="0"/>
                                  <w:sz w:val="18"/>
                                  <w:szCs w:val="18"/>
                                </w:rPr>
                                <w:t>谁审批</w:t>
                              </w:r>
                              <w:r w:rsidR="00F13AA8">
                                <w:rPr>
                                  <w:rFonts w:ascii="宋体" w:eastAsia="宋体" w:hAnsi="宋体" w:cs="宋体" w:hint="eastAsia"/>
                                  <w:color w:val="3D3D3D"/>
                                  <w:kern w:val="0"/>
                                  <w:sz w:val="18"/>
                                  <w:szCs w:val="18"/>
                                </w:rPr>
                                <w:t>、</w:t>
                              </w:r>
                              <w:r w:rsidRPr="00025AE0">
                                <w:rPr>
                                  <w:rFonts w:ascii="宋体" w:eastAsia="宋体" w:hAnsi="宋体" w:cs="宋体"/>
                                  <w:color w:val="3D3D3D"/>
                                  <w:kern w:val="0"/>
                                  <w:sz w:val="18"/>
                                  <w:szCs w:val="18"/>
                                </w:rPr>
                                <w:t>谁监管</w:t>
                              </w:r>
                              <w:r w:rsidR="00F13AA8">
                                <w:rPr>
                                  <w:rFonts w:ascii="宋体" w:eastAsia="宋体" w:hAnsi="宋体" w:cs="宋体" w:hint="eastAsia"/>
                                  <w:color w:val="3D3D3D"/>
                                  <w:kern w:val="0"/>
                                  <w:sz w:val="18"/>
                                  <w:szCs w:val="18"/>
                                </w:rPr>
                                <w:t>”</w:t>
                              </w:r>
                              <w:r w:rsidRPr="00025AE0">
                                <w:rPr>
                                  <w:rFonts w:ascii="宋体" w:eastAsia="宋体" w:hAnsi="宋体" w:cs="宋体"/>
                                  <w:color w:val="3D3D3D"/>
                                  <w:kern w:val="0"/>
                                  <w:sz w:val="18"/>
                                  <w:szCs w:val="18"/>
                                </w:rPr>
                                <w:t>的原则，由县级民政部门具体负责城乡社区服务类社会组织的监管。</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外国人来华工作许可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兰州市属及以下单位聘用外国人来华工作许可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省人力资源和社会保障厅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兰州市人力资源和社会保障局</w:t>
                              </w:r>
                            </w:p>
                          </w:tc>
                          <w:tc>
                            <w:tcPr>
                              <w:tcW w:w="351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审批下放到兰州市后，省外国专家局将通过举办培训等方式提高兰州市</w:t>
                              </w:r>
                              <w:proofErr w:type="gramStart"/>
                              <w:r w:rsidRPr="00025AE0">
                                <w:rPr>
                                  <w:rFonts w:ascii="宋体" w:eastAsia="宋体" w:hAnsi="宋体" w:cs="宋体"/>
                                  <w:color w:val="3D3D3D"/>
                                  <w:kern w:val="0"/>
                                  <w:sz w:val="18"/>
                                  <w:szCs w:val="18"/>
                                </w:rPr>
                                <w:t>人社局</w:t>
                              </w:r>
                              <w:proofErr w:type="gramEnd"/>
                              <w:r w:rsidRPr="00025AE0">
                                <w:rPr>
                                  <w:rFonts w:ascii="宋体" w:eastAsia="宋体" w:hAnsi="宋体" w:cs="宋体"/>
                                  <w:color w:val="3D3D3D"/>
                                  <w:kern w:val="0"/>
                                  <w:sz w:val="18"/>
                                  <w:szCs w:val="18"/>
                                </w:rPr>
                                <w:t>的业务水平，兰州市</w:t>
                              </w:r>
                              <w:proofErr w:type="gramStart"/>
                              <w:r w:rsidRPr="00025AE0">
                                <w:rPr>
                                  <w:rFonts w:ascii="宋体" w:eastAsia="宋体" w:hAnsi="宋体" w:cs="宋体"/>
                                  <w:color w:val="3D3D3D"/>
                                  <w:kern w:val="0"/>
                                  <w:sz w:val="18"/>
                                  <w:szCs w:val="18"/>
                                </w:rPr>
                                <w:t>人社局</w:t>
                              </w:r>
                              <w:proofErr w:type="gramEnd"/>
                              <w:r w:rsidRPr="00025AE0">
                                <w:rPr>
                                  <w:rFonts w:ascii="宋体" w:eastAsia="宋体" w:hAnsi="宋体" w:cs="宋体"/>
                                  <w:color w:val="3D3D3D"/>
                                  <w:kern w:val="0"/>
                                  <w:sz w:val="18"/>
                                  <w:szCs w:val="18"/>
                                </w:rPr>
                                <w:t>将每季度审批事项办理情况报省</w:t>
                              </w:r>
                              <w:proofErr w:type="gramStart"/>
                              <w:r w:rsidRPr="00025AE0">
                                <w:rPr>
                                  <w:rFonts w:ascii="宋体" w:eastAsia="宋体" w:hAnsi="宋体" w:cs="宋体"/>
                                  <w:color w:val="3D3D3D"/>
                                  <w:kern w:val="0"/>
                                  <w:sz w:val="18"/>
                                  <w:szCs w:val="18"/>
                                </w:rPr>
                                <w:t>人社厅</w:t>
                              </w:r>
                              <w:proofErr w:type="gramEnd"/>
                              <w:r w:rsidRPr="00025AE0">
                                <w:rPr>
                                  <w:rFonts w:ascii="宋体" w:eastAsia="宋体" w:hAnsi="宋体" w:cs="宋体"/>
                                  <w:color w:val="3D3D3D"/>
                                  <w:kern w:val="0"/>
                                  <w:sz w:val="18"/>
                                  <w:szCs w:val="18"/>
                                </w:rPr>
                                <w:t>，省</w:t>
                              </w:r>
                              <w:proofErr w:type="gramStart"/>
                              <w:r w:rsidRPr="00025AE0">
                                <w:rPr>
                                  <w:rFonts w:ascii="宋体" w:eastAsia="宋体" w:hAnsi="宋体" w:cs="宋体"/>
                                  <w:color w:val="3D3D3D"/>
                                  <w:kern w:val="0"/>
                                  <w:sz w:val="18"/>
                                  <w:szCs w:val="18"/>
                                </w:rPr>
                                <w:t>人社厅</w:t>
                              </w:r>
                              <w:proofErr w:type="gramEnd"/>
                              <w:r w:rsidRPr="00025AE0">
                                <w:rPr>
                                  <w:rFonts w:ascii="宋体" w:eastAsia="宋体" w:hAnsi="宋体" w:cs="宋体"/>
                                  <w:color w:val="3D3D3D"/>
                                  <w:kern w:val="0"/>
                                  <w:sz w:val="18"/>
                                  <w:szCs w:val="18"/>
                                </w:rPr>
                                <w:t>定期对兰州市</w:t>
                              </w:r>
                              <w:proofErr w:type="gramStart"/>
                              <w:r w:rsidRPr="00025AE0">
                                <w:rPr>
                                  <w:rFonts w:ascii="宋体" w:eastAsia="宋体" w:hAnsi="宋体" w:cs="宋体"/>
                                  <w:color w:val="3D3D3D"/>
                                  <w:kern w:val="0"/>
                                  <w:sz w:val="18"/>
                                  <w:szCs w:val="18"/>
                                </w:rPr>
                                <w:t>人社局</w:t>
                              </w:r>
                              <w:proofErr w:type="gramEnd"/>
                              <w:r w:rsidRPr="00025AE0">
                                <w:rPr>
                                  <w:rFonts w:ascii="宋体" w:eastAsia="宋体" w:hAnsi="宋体" w:cs="宋体"/>
                                  <w:color w:val="3D3D3D"/>
                                  <w:kern w:val="0"/>
                                  <w:sz w:val="18"/>
                                  <w:szCs w:val="18"/>
                                </w:rPr>
                                <w:t>办理情况进行抽查。</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林木采伐许可证核发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行道树采伐、更新许可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省林业厅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县（市、区）林业行政主管部门</w:t>
                              </w:r>
                            </w:p>
                          </w:tc>
                          <w:tc>
                            <w:tcPr>
                              <w:tcW w:w="351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部分审批内容下放后，一是从源头上加强管理，防止乱砍滥伐行为，对公路、铁路等单位在行道树采伐和更新、运输环节的证书核发和执行情况进行抽查。二是将公路、铁路等非林业系统采伐限额全部纳入县级国有企事业单位采伐限额统一管理。三是按照法律法规规定，加大对违法运输木材行为的查处力度。</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消毒产品生产企业(一次性使用医疗用品的生产企业除外)卫生许可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以采购原纸原料生产加工生活用纸巾（不包括生产湿巾和生产原浆纸附带生产生活用纸）、纸质餐饮具的生产企业卫生许可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省卫生和计划生育委员会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市（州）人民政府卫生行政部门</w:t>
                              </w:r>
                            </w:p>
                          </w:tc>
                          <w:tc>
                            <w:tcPr>
                              <w:tcW w:w="351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下放审批后，省卫生计生委按照国家法律法规的规定和国家卫生计生委相关文件要求，加强消毒产品的事中事后监管，依法查处违法行为。</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测绘资质证书核发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丁级测绘资质审批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省测绘地理信息局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各市（州）测绘地理信息行政主管部门</w:t>
                              </w:r>
                            </w:p>
                          </w:tc>
                          <w:tc>
                            <w:tcPr>
                              <w:tcW w:w="351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下放审批后，省测绘地理信息局按照国家测绘地理信息局有关要求，健全完善相关制度，采取“双随机、</w:t>
                              </w:r>
                              <w:proofErr w:type="gramStart"/>
                              <w:r w:rsidRPr="00025AE0">
                                <w:rPr>
                                  <w:rFonts w:ascii="宋体" w:eastAsia="宋体" w:hAnsi="宋体" w:cs="宋体"/>
                                  <w:color w:val="3D3D3D"/>
                                  <w:kern w:val="0"/>
                                  <w:sz w:val="18"/>
                                  <w:szCs w:val="18"/>
                                </w:rPr>
                                <w:t>一</w:t>
                              </w:r>
                              <w:proofErr w:type="gramEnd"/>
                              <w:r w:rsidRPr="00025AE0">
                                <w:rPr>
                                  <w:rFonts w:ascii="宋体" w:eastAsia="宋体" w:hAnsi="宋体" w:cs="宋体"/>
                                  <w:color w:val="3D3D3D"/>
                                  <w:kern w:val="0"/>
                                  <w:sz w:val="18"/>
                                  <w:szCs w:val="18"/>
                                </w:rPr>
                                <w:t>公开”的方式每年开展测绘资质巡查、测绘成果质量抽查、测绘成果保密检查，进一步加强事中事后监管。</w:t>
                              </w:r>
                            </w:p>
                          </w:tc>
                        </w:tr>
                      </w:tbl>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 </w:t>
                        </w: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（七）新增行政许可项目目录（8项）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0"/>
                          <w:gridCol w:w="5288"/>
                          <w:gridCol w:w="1718"/>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国家一级保护水生野生动物驯养繁殖许可证核发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省农牧厅</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出售、收购、利用国家一级保护水生野生动物或其产品审批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省农牧厅</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外国人对国家重点保护水生野生动物进行科学考察、标本采集、拍摄电影、录像等活动审批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省农牧厅</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农药生产许可证核发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省农牧厅</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农药经营许可证核发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省农牧厅</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外国人对国家重点保护陆生野生动物进行野外考察，标本采集或在野外拍电影录像审批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省林业厅</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林木良种种子生产经营许可证核发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省林业厅</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非居民企业选择由其主要机构场所汇总缴纳企业所得税的审批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市（州）以上地方税务机关</w:t>
                              </w:r>
                            </w:p>
                          </w:tc>
                        </w:tr>
                      </w:tbl>
                      <w:p w:rsidR="00E84B2D" w:rsidRDefault="00E84B2D" w:rsidP="00E84B2D">
                        <w:pPr>
                          <w:widowControl/>
                          <w:spacing w:line="330" w:lineRule="atLeast"/>
                          <w:jc w:val="center"/>
                          <w:rPr>
                            <w:rFonts w:ascii="宋体" w:eastAsia="宋体" w:hAnsi="宋体" w:cs="宋体"/>
                            <w:color w:val="3D3D3D"/>
                            <w:kern w:val="0"/>
                            <w:sz w:val="18"/>
                            <w:szCs w:val="18"/>
                          </w:rPr>
                        </w:pP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（八）行政许可调整为行政确认事项目录（1项）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0"/>
                          <w:gridCol w:w="596"/>
                          <w:gridCol w:w="1054"/>
                          <w:gridCol w:w="5356"/>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加强事中事后监管措施</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归侨侨眷身份认定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县级以上人民政府侨务工作主管部门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省政府外事办将按照国务院侨务办公室有关要求，加强统筹指导，督促市州外事（侨务）办进一步加强行政事项的事中事后监管，严格审核把关，畅通投诉举报渠道，切实加大归侨侨眷权益的保护力度。</w:t>
                              </w:r>
                            </w:p>
                          </w:tc>
                        </w:tr>
                      </w:tbl>
                      <w:p w:rsidR="00E84B2D" w:rsidRDefault="00E84B2D" w:rsidP="00E84B2D">
                        <w:pPr>
                          <w:widowControl/>
                          <w:spacing w:line="330" w:lineRule="atLeast"/>
                          <w:jc w:val="center"/>
                          <w:rPr>
                            <w:rFonts w:ascii="宋体" w:eastAsia="宋体" w:hAnsi="宋体" w:cs="宋体"/>
                            <w:color w:val="3D3D3D"/>
                            <w:kern w:val="0"/>
                            <w:sz w:val="18"/>
                            <w:szCs w:val="18"/>
                          </w:rPr>
                        </w:pP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（九）行政许可调整为备案制管理事项目录（2项）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9"/>
                          <w:gridCol w:w="449"/>
                          <w:gridCol w:w="766"/>
                          <w:gridCol w:w="4751"/>
                          <w:gridCol w:w="1041"/>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加强事中事后监管措施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备注</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房地产估价机构备案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县级以上地方人民政府房地产行政主管部门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按照住房和城乡建设部有关要求，一是房地产估价机构实行备案管理制度，二是定期开展行业检查，三是指导甘肃省房地产估价行业协会，加强行业自律。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原行政许可项目名称为“房地产估价机构资质核准”</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领队人员备案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省旅游发展委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改为备案制管理事项后，省旅游发展委将按照国家旅游局有关规定，推进行政权力公开运行，提高政务服务效率和质量。严格落实部门职责，明确工作流程，加强对省、市两级旅游行政管理部门业务的规范管理，强化事中事后监管，加强对旅游行政审批人员的业务培训，进一步提高行政审批水平和审批效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原行政许可项目名称为“领队人员资格认定”</w:t>
                              </w:r>
                            </w:p>
                          </w:tc>
                        </w:tr>
                      </w:tbl>
                      <w:p w:rsidR="00E84B2D" w:rsidRDefault="00E84B2D" w:rsidP="00E84B2D">
                        <w:pPr>
                          <w:widowControl/>
                          <w:spacing w:line="330" w:lineRule="atLeast"/>
                          <w:jc w:val="center"/>
                          <w:rPr>
                            <w:rFonts w:ascii="宋体" w:eastAsia="宋体" w:hAnsi="宋体" w:cs="宋体"/>
                            <w:color w:val="3D3D3D"/>
                            <w:kern w:val="0"/>
                            <w:sz w:val="18"/>
                            <w:szCs w:val="18"/>
                          </w:rPr>
                        </w:pP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（十）行政许可调整为其他行政权力事项目录（2项）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0"/>
                          <w:gridCol w:w="1137"/>
                          <w:gridCol w:w="342"/>
                          <w:gridCol w:w="4297"/>
                          <w:gridCol w:w="1230"/>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加强事中事后监管措施</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备注</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排污许可证核发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省环境保护厅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及时修订《甘肃省排污许可证管理办法》和《甘肃省排污许可证管理办法实施细则（试行）》，进一步细化排污许可证的申领条件、申领程序和总量控制工作要求，对所有参与排污许可证审批的人员进行系统培训，不断完善行政审批规范化管理长效机制，保障排污许可工作顺利进行。</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名称调整为“全省排污许可制度的组织实施和监管”，市、县环保部门负责核发排污许可证。</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11664">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对因意外事故或者自然灾害等原因遭受重大损失的纳税人减免资源税的审批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省地方税务局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对因意外事故或者自然灾害等原因遭受重大损失的纳税人减免资源税的审批调整为其他行政权力事项后，由省地税局按照《税收减免管理办法》（国家税务总局公告2015年第43号）的要求加强管理，同时，为纳税人申请减免提供便捷优质的服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 </w:t>
                              </w:r>
                            </w:p>
                          </w:tc>
                        </w:tr>
                      </w:tbl>
                      <w:p w:rsidR="00E84B2D" w:rsidRDefault="00E84B2D" w:rsidP="00E84B2D">
                        <w:pPr>
                          <w:widowControl/>
                          <w:spacing w:line="330" w:lineRule="atLeast"/>
                          <w:jc w:val="center"/>
                          <w:rPr>
                            <w:rFonts w:ascii="宋体" w:eastAsia="宋体" w:hAnsi="宋体" w:cs="宋体"/>
                            <w:color w:val="3D3D3D"/>
                            <w:kern w:val="0"/>
                            <w:sz w:val="18"/>
                            <w:szCs w:val="18"/>
                          </w:rPr>
                        </w:pP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（十一）行政许可调整为部门内部管理事项目录（1项）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0"/>
                          <w:gridCol w:w="1007"/>
                          <w:gridCol w:w="438"/>
                          <w:gridCol w:w="3582"/>
                          <w:gridCol w:w="1979"/>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加强事中事后监管措施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备注</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携带、传递国家秘密载体出境审批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省国家保密局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按照国家保密局有关规定，对海关发现、公民举报或者机关、单位报告的非法携带、传递国家秘密载体出境的线索，依法及时调查。同时，加强日常监管。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实施机关由“市(州)以上人民政府保密行政主管部门”调整为“省国家保密局”</w:t>
                              </w:r>
                            </w:p>
                          </w:tc>
                        </w:tr>
                      </w:tbl>
                      <w:p w:rsidR="00E84B2D" w:rsidRDefault="00E84B2D" w:rsidP="00E84B2D">
                        <w:pPr>
                          <w:widowControl/>
                          <w:spacing w:line="330" w:lineRule="atLeast"/>
                          <w:jc w:val="center"/>
                          <w:rPr>
                            <w:rFonts w:ascii="宋体" w:eastAsia="宋体" w:hAnsi="宋体" w:cs="宋体"/>
                            <w:color w:val="3D3D3D"/>
                            <w:kern w:val="0"/>
                            <w:sz w:val="18"/>
                            <w:szCs w:val="18"/>
                          </w:rPr>
                        </w:pPr>
                      </w:p>
                      <w:p w:rsidR="00E84B2D" w:rsidRDefault="00E84B2D" w:rsidP="00E84B2D">
                        <w:pPr>
                          <w:widowControl/>
                          <w:spacing w:line="330" w:lineRule="atLeast"/>
                          <w:jc w:val="center"/>
                          <w:rPr>
                            <w:rFonts w:ascii="宋体" w:eastAsia="宋体" w:hAnsi="宋体" w:cs="宋体"/>
                            <w:color w:val="3D3D3D"/>
                            <w:kern w:val="0"/>
                            <w:sz w:val="18"/>
                            <w:szCs w:val="18"/>
                          </w:rPr>
                        </w:pPr>
                      </w:p>
                      <w:p w:rsidR="00E84B2D" w:rsidRDefault="00E84B2D" w:rsidP="00E84B2D">
                        <w:pPr>
                          <w:widowControl/>
                          <w:spacing w:line="330" w:lineRule="atLeast"/>
                          <w:jc w:val="center"/>
                          <w:rPr>
                            <w:rFonts w:ascii="宋体" w:eastAsia="宋体" w:hAnsi="宋体" w:cs="宋体"/>
                            <w:color w:val="3D3D3D"/>
                            <w:kern w:val="0"/>
                            <w:sz w:val="18"/>
                            <w:szCs w:val="18"/>
                          </w:rPr>
                        </w:pPr>
                      </w:p>
                      <w:p w:rsidR="00E84B2D" w:rsidRDefault="00E84B2D" w:rsidP="00E84B2D">
                        <w:pPr>
                          <w:widowControl/>
                          <w:spacing w:line="330" w:lineRule="atLeast"/>
                          <w:jc w:val="center"/>
                          <w:rPr>
                            <w:rFonts w:ascii="宋体" w:eastAsia="宋体" w:hAnsi="宋体" w:cs="宋体"/>
                            <w:color w:val="3D3D3D"/>
                            <w:kern w:val="0"/>
                            <w:sz w:val="18"/>
                            <w:szCs w:val="18"/>
                          </w:rPr>
                        </w:pPr>
                      </w:p>
                      <w:p w:rsidR="00E84B2D" w:rsidRDefault="00E84B2D" w:rsidP="00E84B2D">
                        <w:pPr>
                          <w:widowControl/>
                          <w:spacing w:line="330" w:lineRule="atLeast"/>
                          <w:jc w:val="center"/>
                          <w:rPr>
                            <w:rFonts w:ascii="宋体" w:eastAsia="宋体" w:hAnsi="宋体" w:cs="宋体"/>
                            <w:color w:val="3D3D3D"/>
                            <w:kern w:val="0"/>
                            <w:sz w:val="18"/>
                            <w:szCs w:val="18"/>
                          </w:rPr>
                        </w:pPr>
                      </w:p>
                      <w:p w:rsidR="00E84B2D" w:rsidRDefault="00E84B2D" w:rsidP="00E84B2D">
                        <w:pPr>
                          <w:widowControl/>
                          <w:spacing w:line="330" w:lineRule="atLeast"/>
                          <w:jc w:val="center"/>
                          <w:rPr>
                            <w:rFonts w:ascii="宋体" w:eastAsia="宋体" w:hAnsi="宋体" w:cs="宋体"/>
                            <w:color w:val="3D3D3D"/>
                            <w:kern w:val="0"/>
                            <w:sz w:val="18"/>
                            <w:szCs w:val="18"/>
                          </w:rPr>
                        </w:pP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（十二）变更行政许可项目名称事项目录（8项）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1"/>
                          <w:gridCol w:w="1858"/>
                          <w:gridCol w:w="1858"/>
                          <w:gridCol w:w="1085"/>
                          <w:gridCol w:w="2204"/>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原项目名称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变更后项目名称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备注</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固定资产投资项目节能评估和审查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固定资产投资项目节能审查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县级以上人民政府发展改革部门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城市规划编制单位资质认定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城乡规划编制单位资质认定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省住房和城乡建设厅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实施机关由“县级以上人民政府城市规划行政主管部门”调整为“省住房和城乡建设厅”</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猎捕、驯养繁殖、出售、收购、利用国家二级保护野生动物及其产品审批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猎捕、人工繁育、出售、收购、利用国家重点保护野生动物及其制品审批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省林业厅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对纳税人延期缴纳税款的审批(国税管理范围除外)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对纳税人延期缴纳税款的核准（国税管理范围除外）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省地方税务局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化妆品生产企业卫生许可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化妆品生产许可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省食品药品监督管理局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医疗器械生产企业许可证（第二、三类）核发及变更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第二类、第三类医疗器械生产许可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省食品药品监督管理局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第二类医疗器械产品生产注册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第二类医疗器械产品注册审批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省食品药品监督管理局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地方性地图、地方专题地图在印刷或者展示前试制样图的审批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地图审核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设区的市级以上测绘地理信息行政主管部门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实施机关由“省测绘地理信息局”调整为“设区的市级以上测绘地理信息行政主管部门”</w:t>
                              </w:r>
                            </w:p>
                          </w:tc>
                        </w:tr>
                      </w:tbl>
                      <w:p w:rsidR="00E84B2D"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 xml:space="preserve">　　</w:t>
                        </w: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（十三）市县级政府部门取消行政许可项目目录（2项）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0"/>
                          <w:gridCol w:w="697"/>
                          <w:gridCol w:w="1191"/>
                          <w:gridCol w:w="5118"/>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76616">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加强事中事后监管措施</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在林区经营（含加工）木材审批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市（州）、县（市、区）林业行政主管部门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一是从源头上加强管理，防止乱砍滥伐行为，对林业经营单位在林木采伐、运输环节的证书核发和执行情况进行抽查。二是县级工商主管部门及时将木材经营加工企业登记信息推送县级林业主管部门。三是县级林业主管部门对经工商登记的木材经营加工企业进行抽查，每年抽查比例不低于本地区木材经营加工企业总数的20%。抽查重点是企业原料和产品入库出库台账，核对企业库存和木材原料来源是否合法。四是鼓励木材经营加工企业参加以企业自愿为原则的诚信公约，推进木材加工企业</w:t>
                              </w:r>
                              <w:r w:rsidRPr="00025AE0">
                                <w:rPr>
                                  <w:rFonts w:ascii="宋体" w:eastAsia="宋体" w:hAnsi="宋体" w:cs="宋体"/>
                                  <w:color w:val="3D3D3D"/>
                                  <w:kern w:val="0"/>
                                  <w:sz w:val="18"/>
                                  <w:szCs w:val="18"/>
                                </w:rPr>
                                <w:lastRenderedPageBreak/>
                                <w:t>开展企业标准自我公开声明，利用媒体进行监督。五是县级林业主管部门将抽查结果及时报送当地工商部门，由工商部门通过企业信用信息公示系统归集于企业名下。六是各地林业主管部门受理的投诉、举报，属于职权范围的，应当受理并在法定期限内及时核实、处理、答复；不属于职权范围的，应当移交有权处理的部门并通知投诉、举报人。鼓励各地探索推进有奖举报措施。七是按照法律法规规定，加大对违规经营木材行为的查处力度。违法违规行为涉嫌犯罪的，各地林业主管部门按照规定将案件移送司法机关并配合司法机关开展调查处理。八是工商、环境保护、质监、物价、税务等市场监管部门要加强对木材经营加工企业的管理。</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建立城市社区有线电视系统审批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市（州）、县（市、区）新闻出版广电行政部门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一是加强有线电视系统工程的新建、改造等建设管理工作，确保有线电视网络覆盖城市各个社区。二是规范有线电视运营企业运营服务和安全，强化内容管理，提高服务质量，加强安全、检修、维护和应急处置等管理。</w:t>
                              </w:r>
                            </w:p>
                          </w:tc>
                        </w:tr>
                      </w:tbl>
                      <w:p w:rsidR="00E76616"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 xml:space="preserve">　</w:t>
                        </w:r>
                      </w:p>
                      <w:p w:rsidR="00E76616" w:rsidRDefault="00E76616" w:rsidP="0031576B">
                        <w:pPr>
                          <w:widowControl/>
                          <w:spacing w:line="330" w:lineRule="atLeast"/>
                          <w:jc w:val="left"/>
                          <w:rPr>
                            <w:rFonts w:ascii="宋体" w:eastAsia="宋体" w:hAnsi="宋体" w:cs="宋体"/>
                            <w:color w:val="3D3D3D"/>
                            <w:kern w:val="0"/>
                            <w:sz w:val="18"/>
                            <w:szCs w:val="18"/>
                          </w:rPr>
                        </w:pPr>
                      </w:p>
                      <w:p w:rsidR="00E76616" w:rsidRDefault="00E76616" w:rsidP="0031576B">
                        <w:pPr>
                          <w:widowControl/>
                          <w:spacing w:line="330" w:lineRule="atLeast"/>
                          <w:jc w:val="left"/>
                          <w:rPr>
                            <w:rFonts w:ascii="宋体" w:eastAsia="宋体" w:hAnsi="宋体" w:cs="宋体"/>
                            <w:color w:val="3D3D3D"/>
                            <w:kern w:val="0"/>
                            <w:sz w:val="18"/>
                            <w:szCs w:val="18"/>
                          </w:rPr>
                        </w:pPr>
                      </w:p>
                      <w:p w:rsidR="00E76616" w:rsidRDefault="00E76616" w:rsidP="0031576B">
                        <w:pPr>
                          <w:widowControl/>
                          <w:spacing w:line="330" w:lineRule="atLeast"/>
                          <w:jc w:val="left"/>
                          <w:rPr>
                            <w:rFonts w:ascii="宋体" w:eastAsia="宋体" w:hAnsi="宋体" w:cs="宋体"/>
                            <w:color w:val="3D3D3D"/>
                            <w:kern w:val="0"/>
                            <w:sz w:val="18"/>
                            <w:szCs w:val="18"/>
                          </w:rPr>
                        </w:pPr>
                      </w:p>
                      <w:p w:rsidR="00E76616" w:rsidRDefault="00E76616" w:rsidP="0031576B">
                        <w:pPr>
                          <w:widowControl/>
                          <w:spacing w:line="330" w:lineRule="atLeast"/>
                          <w:jc w:val="left"/>
                          <w:rPr>
                            <w:rFonts w:ascii="宋体" w:eastAsia="宋体" w:hAnsi="宋体" w:cs="宋体"/>
                            <w:color w:val="3D3D3D"/>
                            <w:kern w:val="0"/>
                            <w:sz w:val="18"/>
                            <w:szCs w:val="18"/>
                          </w:rPr>
                        </w:pPr>
                      </w:p>
                      <w:p w:rsidR="00E76616" w:rsidRDefault="00E76616" w:rsidP="0031576B">
                        <w:pPr>
                          <w:widowControl/>
                          <w:spacing w:line="330" w:lineRule="atLeast"/>
                          <w:jc w:val="left"/>
                          <w:rPr>
                            <w:rFonts w:ascii="宋体" w:eastAsia="宋体" w:hAnsi="宋体" w:cs="宋体"/>
                            <w:color w:val="3D3D3D"/>
                            <w:kern w:val="0"/>
                            <w:sz w:val="18"/>
                            <w:szCs w:val="18"/>
                          </w:rPr>
                        </w:pPr>
                      </w:p>
                      <w:p w:rsidR="00E76616" w:rsidRDefault="00E76616" w:rsidP="0031576B">
                        <w:pPr>
                          <w:widowControl/>
                          <w:spacing w:line="330" w:lineRule="atLeast"/>
                          <w:jc w:val="left"/>
                          <w:rPr>
                            <w:rFonts w:ascii="宋体" w:eastAsia="宋体" w:hAnsi="宋体" w:cs="宋体"/>
                            <w:color w:val="3D3D3D"/>
                            <w:kern w:val="0"/>
                            <w:sz w:val="18"/>
                            <w:szCs w:val="18"/>
                          </w:rPr>
                        </w:pPr>
                      </w:p>
                      <w:p w:rsidR="00E76616" w:rsidRDefault="00E76616" w:rsidP="0031576B">
                        <w:pPr>
                          <w:widowControl/>
                          <w:spacing w:line="330" w:lineRule="atLeast"/>
                          <w:jc w:val="left"/>
                          <w:rPr>
                            <w:rFonts w:ascii="宋体" w:eastAsia="宋体" w:hAnsi="宋体" w:cs="宋体"/>
                            <w:color w:val="3D3D3D"/>
                            <w:kern w:val="0"/>
                            <w:sz w:val="18"/>
                            <w:szCs w:val="18"/>
                          </w:rPr>
                        </w:pPr>
                      </w:p>
                      <w:p w:rsidR="00E76616" w:rsidRDefault="00E76616"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hint="eastAsia"/>
                            <w:color w:val="3D3D3D"/>
                            <w:kern w:val="0"/>
                            <w:sz w:val="18"/>
                            <w:szCs w:val="18"/>
                          </w:rPr>
                        </w:pPr>
                      </w:p>
                      <w:p w:rsidR="00E76616" w:rsidRDefault="00E76616" w:rsidP="0031576B">
                        <w:pPr>
                          <w:widowControl/>
                          <w:spacing w:line="330" w:lineRule="atLeast"/>
                          <w:jc w:val="left"/>
                          <w:rPr>
                            <w:rFonts w:ascii="宋体" w:eastAsia="宋体" w:hAnsi="宋体" w:cs="宋体"/>
                            <w:color w:val="3D3D3D"/>
                            <w:kern w:val="0"/>
                            <w:sz w:val="18"/>
                            <w:szCs w:val="18"/>
                          </w:rPr>
                        </w:pPr>
                      </w:p>
                      <w:p w:rsidR="00025AE0" w:rsidRPr="00ED730B" w:rsidRDefault="00025AE0" w:rsidP="00E84B2D">
                        <w:pPr>
                          <w:widowControl/>
                          <w:spacing w:line="330" w:lineRule="atLeast"/>
                          <w:jc w:val="left"/>
                          <w:rPr>
                            <w:rFonts w:ascii="黑体" w:eastAsia="黑体" w:hAnsi="黑体" w:cs="宋体"/>
                            <w:color w:val="3D3D3D"/>
                            <w:kern w:val="0"/>
                            <w:sz w:val="32"/>
                            <w:szCs w:val="32"/>
                          </w:rPr>
                        </w:pPr>
                        <w:r w:rsidRPr="00ED730B">
                          <w:rPr>
                            <w:rFonts w:ascii="黑体" w:eastAsia="黑体" w:hAnsi="黑体" w:cs="宋体"/>
                            <w:color w:val="3D3D3D"/>
                            <w:kern w:val="0"/>
                            <w:sz w:val="32"/>
                            <w:szCs w:val="32"/>
                          </w:rPr>
                          <w:t>附件2</w:t>
                        </w: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中央在</w:t>
                        </w:r>
                        <w:proofErr w:type="gramStart"/>
                        <w:r w:rsidRPr="00025AE0">
                          <w:rPr>
                            <w:rFonts w:ascii="宋体" w:eastAsia="宋体" w:hAnsi="宋体" w:cs="宋体"/>
                            <w:color w:val="3D3D3D"/>
                            <w:kern w:val="0"/>
                            <w:sz w:val="18"/>
                            <w:szCs w:val="18"/>
                          </w:rPr>
                          <w:t>甘单位</w:t>
                        </w:r>
                        <w:proofErr w:type="gramEnd"/>
                        <w:r w:rsidRPr="00025AE0">
                          <w:rPr>
                            <w:rFonts w:ascii="宋体" w:eastAsia="宋体" w:hAnsi="宋体" w:cs="宋体"/>
                            <w:color w:val="3D3D3D"/>
                            <w:kern w:val="0"/>
                            <w:sz w:val="18"/>
                            <w:szCs w:val="18"/>
                          </w:rPr>
                          <w:t>第十四批取消行政许可项目目录（2项）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0"/>
                          <w:gridCol w:w="500"/>
                          <w:gridCol w:w="530"/>
                          <w:gridCol w:w="5976"/>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加强事中事后监管措施</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电工进网作业许可证核发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国家能源局甘肃监管办公室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取消审批后，甘肃能源监管办严格按照国家能源局要求，取消电工进网作业许可证相关业务，取消后移交到安监部门，移交后不再承担监管责任，配合安监部门积极开展后续工作。省安监局督促市州安全监管部门考核发放“特种作业操作证（电工）”，将能源部门的相关管理要求纳入，明确规定考试、发证、收费标准、监管措施，并予以公布。同时，由安全监管部门承担监管责任，对持证人员培训考核、监督管理。各级安全监管部门完善“双随机、</w:t>
                              </w:r>
                              <w:proofErr w:type="gramStart"/>
                              <w:r w:rsidRPr="00025AE0">
                                <w:rPr>
                                  <w:rFonts w:ascii="宋体" w:eastAsia="宋体" w:hAnsi="宋体" w:cs="宋体"/>
                                  <w:color w:val="3D3D3D"/>
                                  <w:kern w:val="0"/>
                                  <w:sz w:val="18"/>
                                  <w:szCs w:val="18"/>
                                </w:rPr>
                                <w:t>一</w:t>
                              </w:r>
                              <w:proofErr w:type="gramEnd"/>
                              <w:r w:rsidRPr="00025AE0">
                                <w:rPr>
                                  <w:rFonts w:ascii="宋体" w:eastAsia="宋体" w:hAnsi="宋体" w:cs="宋体"/>
                                  <w:color w:val="3D3D3D"/>
                                  <w:kern w:val="0"/>
                                  <w:sz w:val="18"/>
                                  <w:szCs w:val="18"/>
                                </w:rPr>
                                <w:t>公开”抽查、责任追溯、违规行为查处、吊销证件等制度。</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设立保险公估机构审批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中国保监会甘肃监管局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认真落实《中华人民共和国资产评估法》，强化事中事后监管措施，切实做好保险公估机构业务备案及监管工作，促进保险公</w:t>
                              </w:r>
                              <w:proofErr w:type="gramStart"/>
                              <w:r w:rsidRPr="00025AE0">
                                <w:rPr>
                                  <w:rFonts w:ascii="宋体" w:eastAsia="宋体" w:hAnsi="宋体" w:cs="宋体"/>
                                  <w:color w:val="3D3D3D"/>
                                  <w:kern w:val="0"/>
                                  <w:sz w:val="18"/>
                                  <w:szCs w:val="18"/>
                                </w:rPr>
                                <w:t>估行业</w:t>
                              </w:r>
                              <w:proofErr w:type="gramEnd"/>
                              <w:r w:rsidRPr="00025AE0">
                                <w:rPr>
                                  <w:rFonts w:ascii="宋体" w:eastAsia="宋体" w:hAnsi="宋体" w:cs="宋体"/>
                                  <w:color w:val="3D3D3D"/>
                                  <w:kern w:val="0"/>
                                  <w:sz w:val="18"/>
                                  <w:szCs w:val="18"/>
                                </w:rPr>
                                <w:t>健康稳定发展。中国保监会甘肃监管局根据保监会统一要求，按照分级备案的原则，接受工商登记注册地在甘肃省的区域性公司形式的保险公估机构及保险公估分支机构业务备案。</w:t>
                              </w:r>
                            </w:p>
                          </w:tc>
                        </w:tr>
                      </w:tbl>
                      <w:p w:rsidR="004333B7" w:rsidRPr="0031576B"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 xml:space="preserve">　</w:t>
                        </w:r>
                      </w:p>
                      <w:p w:rsidR="004333B7" w:rsidRPr="0031576B" w:rsidRDefault="004333B7" w:rsidP="0031576B">
                        <w:pPr>
                          <w:widowControl/>
                          <w:spacing w:line="330" w:lineRule="atLeast"/>
                          <w:jc w:val="left"/>
                          <w:rPr>
                            <w:rFonts w:ascii="宋体" w:eastAsia="宋体" w:hAnsi="宋体" w:cs="宋体"/>
                            <w:color w:val="3D3D3D"/>
                            <w:kern w:val="0"/>
                            <w:sz w:val="18"/>
                            <w:szCs w:val="18"/>
                          </w:rPr>
                        </w:pPr>
                      </w:p>
                      <w:p w:rsidR="004333B7" w:rsidRPr="0031576B" w:rsidRDefault="004333B7" w:rsidP="0031576B">
                        <w:pPr>
                          <w:widowControl/>
                          <w:spacing w:line="330" w:lineRule="atLeast"/>
                          <w:jc w:val="left"/>
                          <w:rPr>
                            <w:rFonts w:ascii="宋体" w:eastAsia="宋体" w:hAnsi="宋体" w:cs="宋体"/>
                            <w:color w:val="3D3D3D"/>
                            <w:kern w:val="0"/>
                            <w:sz w:val="18"/>
                            <w:szCs w:val="18"/>
                          </w:rPr>
                        </w:pPr>
                      </w:p>
                      <w:p w:rsidR="004333B7" w:rsidRPr="0031576B" w:rsidRDefault="004333B7" w:rsidP="0031576B">
                        <w:pPr>
                          <w:widowControl/>
                          <w:spacing w:line="330" w:lineRule="atLeast"/>
                          <w:jc w:val="left"/>
                          <w:rPr>
                            <w:rFonts w:ascii="宋体" w:eastAsia="宋体" w:hAnsi="宋体" w:cs="宋体"/>
                            <w:color w:val="3D3D3D"/>
                            <w:kern w:val="0"/>
                            <w:sz w:val="18"/>
                            <w:szCs w:val="18"/>
                          </w:rPr>
                        </w:pPr>
                      </w:p>
                      <w:p w:rsidR="004333B7" w:rsidRDefault="004333B7"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Default="00E84B2D" w:rsidP="0031576B">
                        <w:pPr>
                          <w:widowControl/>
                          <w:spacing w:line="330" w:lineRule="atLeast"/>
                          <w:jc w:val="left"/>
                          <w:rPr>
                            <w:rFonts w:ascii="宋体" w:eastAsia="宋体" w:hAnsi="宋体" w:cs="宋体"/>
                            <w:color w:val="3D3D3D"/>
                            <w:kern w:val="0"/>
                            <w:sz w:val="18"/>
                            <w:szCs w:val="18"/>
                          </w:rPr>
                        </w:pPr>
                      </w:p>
                      <w:p w:rsidR="00E84B2D" w:rsidRPr="0031576B" w:rsidRDefault="00E84B2D" w:rsidP="0031576B">
                        <w:pPr>
                          <w:widowControl/>
                          <w:spacing w:line="330" w:lineRule="atLeast"/>
                          <w:jc w:val="left"/>
                          <w:rPr>
                            <w:rFonts w:ascii="宋体" w:eastAsia="宋体" w:hAnsi="宋体" w:cs="宋体" w:hint="eastAsia"/>
                            <w:color w:val="3D3D3D"/>
                            <w:kern w:val="0"/>
                            <w:sz w:val="18"/>
                            <w:szCs w:val="18"/>
                          </w:rPr>
                        </w:pPr>
                      </w:p>
                      <w:p w:rsidR="00025AE0" w:rsidRPr="00ED730B" w:rsidRDefault="00025AE0" w:rsidP="0031576B">
                        <w:pPr>
                          <w:widowControl/>
                          <w:spacing w:line="330" w:lineRule="atLeast"/>
                          <w:jc w:val="left"/>
                          <w:rPr>
                            <w:rFonts w:ascii="黑体" w:eastAsia="黑体" w:hAnsi="黑体" w:cs="宋体"/>
                            <w:color w:val="3D3D3D"/>
                            <w:kern w:val="0"/>
                            <w:sz w:val="32"/>
                            <w:szCs w:val="32"/>
                          </w:rPr>
                        </w:pPr>
                        <w:r w:rsidRPr="00E84B2D">
                          <w:rPr>
                            <w:rFonts w:ascii="黑体" w:eastAsia="黑体" w:hAnsi="黑体" w:cs="宋体"/>
                            <w:color w:val="3D3D3D"/>
                            <w:kern w:val="0"/>
                            <w:sz w:val="18"/>
                            <w:szCs w:val="18"/>
                          </w:rPr>
                          <w:t xml:space="preserve">　</w:t>
                        </w:r>
                        <w:r w:rsidRPr="00ED730B">
                          <w:rPr>
                            <w:rFonts w:ascii="黑体" w:eastAsia="黑体" w:hAnsi="黑体" w:cs="宋体"/>
                            <w:color w:val="3D3D3D"/>
                            <w:kern w:val="0"/>
                            <w:sz w:val="32"/>
                            <w:szCs w:val="32"/>
                          </w:rPr>
                          <w:t>附件3</w:t>
                        </w: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省级政府部门取消其他事项目录（5项）</w:t>
                        </w: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（一）取消其他行政权力事项目录（3项）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9"/>
                          <w:gridCol w:w="962"/>
                          <w:gridCol w:w="547"/>
                          <w:gridCol w:w="5498"/>
                        </w:tblGrid>
                        <w:tr w:rsidR="00025AE0" w:rsidRPr="00025AE0" w:rsidTr="00025AE0">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加强事中事后监管措施</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药用辅料注册、再注册、补充申请审核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省食品药品监督管理局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一是加强延伸监管。对使用药用辅料的药品生产企业由所在地食品药品监管部门加强延伸监管，将药用辅料生产企业纳入日常监管范围，严控风险，确保药品安全性和有效性。二是加强事中事后监管。认真开展“双随机、</w:t>
                              </w:r>
                              <w:proofErr w:type="gramStart"/>
                              <w:r w:rsidRPr="00025AE0">
                                <w:rPr>
                                  <w:rFonts w:ascii="宋体" w:eastAsia="宋体" w:hAnsi="宋体" w:cs="宋体"/>
                                  <w:color w:val="3D3D3D"/>
                                  <w:kern w:val="0"/>
                                  <w:sz w:val="18"/>
                                  <w:szCs w:val="18"/>
                                </w:rPr>
                                <w:t>一</w:t>
                              </w:r>
                              <w:proofErr w:type="gramEnd"/>
                              <w:r w:rsidRPr="00025AE0">
                                <w:rPr>
                                  <w:rFonts w:ascii="宋体" w:eastAsia="宋体" w:hAnsi="宋体" w:cs="宋体"/>
                                  <w:color w:val="3D3D3D"/>
                                  <w:kern w:val="0"/>
                                  <w:sz w:val="18"/>
                                  <w:szCs w:val="18"/>
                                </w:rPr>
                                <w:t>公开”抽查和日常监督检查，加大对违法违规行为的惩处力度</w:t>
                              </w:r>
                              <w:bookmarkStart w:id="0" w:name="_GoBack"/>
                              <w:bookmarkEnd w:id="0"/>
                              <w:r w:rsidRPr="00025AE0">
                                <w:rPr>
                                  <w:rFonts w:ascii="宋体" w:eastAsia="宋体" w:hAnsi="宋体" w:cs="宋体"/>
                                  <w:color w:val="3D3D3D"/>
                                  <w:kern w:val="0"/>
                                  <w:sz w:val="18"/>
                                  <w:szCs w:val="18"/>
                                </w:rPr>
                                <w:t>，及时公开信息。</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已有国家标准药用辅料备案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省食品药品监督管理局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一是加强延伸监管。对使用药用辅料的药品生产企业由所在地食品药品监管部门加强延伸监管，将药用辅料生产企业纳入日常监管范围，严控风险，确保药品安全性和有效性。二是加强事中事后监管。认真开展“双随机、</w:t>
                              </w:r>
                              <w:proofErr w:type="gramStart"/>
                              <w:r w:rsidRPr="00025AE0">
                                <w:rPr>
                                  <w:rFonts w:ascii="宋体" w:eastAsia="宋体" w:hAnsi="宋体" w:cs="宋体"/>
                                  <w:color w:val="3D3D3D"/>
                                  <w:kern w:val="0"/>
                                  <w:sz w:val="18"/>
                                  <w:szCs w:val="18"/>
                                </w:rPr>
                                <w:t>一</w:t>
                              </w:r>
                              <w:proofErr w:type="gramEnd"/>
                              <w:r w:rsidRPr="00025AE0">
                                <w:rPr>
                                  <w:rFonts w:ascii="宋体" w:eastAsia="宋体" w:hAnsi="宋体" w:cs="宋体"/>
                                  <w:color w:val="3D3D3D"/>
                                  <w:kern w:val="0"/>
                                  <w:sz w:val="18"/>
                                  <w:szCs w:val="18"/>
                                </w:rPr>
                                <w:t>公开”抽查和日常监督检查，加大对违法违规行为的惩处力度，及时公开信息。</w:t>
                              </w:r>
                            </w:p>
                          </w:tc>
                        </w:tr>
                        <w:tr w:rsidR="00025AE0" w:rsidRPr="00025AE0" w:rsidTr="00025A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proofErr w:type="gramStart"/>
                              <w:r w:rsidRPr="00025AE0">
                                <w:rPr>
                                  <w:rFonts w:ascii="宋体" w:eastAsia="宋体" w:hAnsi="宋体" w:cs="宋体"/>
                                  <w:color w:val="3D3D3D"/>
                                  <w:kern w:val="0"/>
                                  <w:sz w:val="18"/>
                                  <w:szCs w:val="18"/>
                                </w:rPr>
                                <w:t>药包材再注册</w:t>
                              </w:r>
                              <w:proofErr w:type="gramEnd"/>
                              <w:r w:rsidRPr="00025AE0">
                                <w:rPr>
                                  <w:rFonts w:ascii="宋体" w:eastAsia="宋体" w:hAnsi="宋体" w:cs="宋体"/>
                                  <w:color w:val="3D3D3D"/>
                                  <w:kern w:val="0"/>
                                  <w:sz w:val="18"/>
                                  <w:szCs w:val="18"/>
                                </w:rPr>
                                <w:t>、补充申请审核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省食品药品监督管理局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31576B">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一是加强延伸监管。对使用药用辅料的药品生产企业由所在地食品药品监管部门加强延伸监管，将药包材生产企业纳入日常监管范围，严控风险，确保药品安全性和有效性。二是加强事中事后监管。认真开展“双随机、</w:t>
                              </w:r>
                              <w:proofErr w:type="gramStart"/>
                              <w:r w:rsidRPr="00025AE0">
                                <w:rPr>
                                  <w:rFonts w:ascii="宋体" w:eastAsia="宋体" w:hAnsi="宋体" w:cs="宋体"/>
                                  <w:color w:val="3D3D3D"/>
                                  <w:kern w:val="0"/>
                                  <w:sz w:val="18"/>
                                  <w:szCs w:val="18"/>
                                </w:rPr>
                                <w:t>一</w:t>
                              </w:r>
                              <w:proofErr w:type="gramEnd"/>
                              <w:r w:rsidRPr="00025AE0">
                                <w:rPr>
                                  <w:rFonts w:ascii="宋体" w:eastAsia="宋体" w:hAnsi="宋体" w:cs="宋体"/>
                                  <w:color w:val="3D3D3D"/>
                                  <w:kern w:val="0"/>
                                  <w:sz w:val="18"/>
                                  <w:szCs w:val="18"/>
                                </w:rPr>
                                <w:t>公开”抽查和日常监督检查，加大对违法违规行为的惩处力度，及时公开信息。</w:t>
                              </w:r>
                            </w:p>
                          </w:tc>
                        </w:tr>
                      </w:tbl>
                      <w:p w:rsidR="00E84B2D" w:rsidRDefault="00E84B2D" w:rsidP="00E84B2D">
                        <w:pPr>
                          <w:widowControl/>
                          <w:spacing w:line="330" w:lineRule="atLeast"/>
                          <w:jc w:val="center"/>
                          <w:rPr>
                            <w:rFonts w:ascii="宋体" w:eastAsia="宋体" w:hAnsi="宋体" w:cs="宋体"/>
                            <w:color w:val="3D3D3D"/>
                            <w:kern w:val="0"/>
                            <w:sz w:val="18"/>
                            <w:szCs w:val="18"/>
                          </w:rPr>
                        </w:pPr>
                      </w:p>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（二）取消部门内部管理事项目录（2项）</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0"/>
                          <w:gridCol w:w="1201"/>
                          <w:gridCol w:w="284"/>
                          <w:gridCol w:w="5521"/>
                        </w:tblGrid>
                        <w:tr w:rsidR="00025AE0" w:rsidRPr="00025AE0" w:rsidTr="00E84B2D">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序号</w:t>
                              </w:r>
                            </w:p>
                          </w:tc>
                          <w:tc>
                            <w:tcPr>
                              <w:tcW w:w="1201"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项目名称</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实施机关</w:t>
                              </w:r>
                            </w:p>
                          </w:tc>
                          <w:tc>
                            <w:tcPr>
                              <w:tcW w:w="5521"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加强事中事后监管措施</w:t>
                              </w:r>
                            </w:p>
                          </w:tc>
                        </w:tr>
                        <w:tr w:rsidR="00025AE0" w:rsidRPr="00025AE0" w:rsidTr="00E84B2D">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1</w:t>
                              </w:r>
                            </w:p>
                          </w:tc>
                          <w:tc>
                            <w:tcPr>
                              <w:tcW w:w="1201"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出口国家重点保护的或进出口国际公约限制进出口的陆生野生动物或其产品初审</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省林业厅</w:t>
                              </w:r>
                            </w:p>
                          </w:tc>
                          <w:tc>
                            <w:tcPr>
                              <w:tcW w:w="5521"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一是省市县林业行政主管部门要加强引导和服务，引导申请人严格按照国家林业局服务指南公布的要求提交申请材料，做好服务工作。二是加强监督检查，强化随机抽查，对依法获得许可的被许可人进行监督检查，发现问题及时纠正。同时，为做好服务，在监督检查过程中检查单位应当认真听取被许可人提出的意见和建议。三是加强宣传教育和社会监督，提升申请人保护意识，提高其遵纪守法自觉性。设立举报监督电话，让违法从事野生动物进出口活动接受社会监督。</w:t>
                              </w:r>
                            </w:p>
                          </w:tc>
                        </w:tr>
                        <w:tr w:rsidR="00025AE0" w:rsidRPr="00025AE0" w:rsidTr="00E84B2D">
                          <w:trPr>
                            <w:jc w:val="center"/>
                          </w:trPr>
                          <w:tc>
                            <w:tcPr>
                              <w:tcW w:w="900"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E84B2D">
                              <w:pPr>
                                <w:widowControl/>
                                <w:spacing w:line="330" w:lineRule="atLeast"/>
                                <w:jc w:val="center"/>
                                <w:rPr>
                                  <w:rFonts w:ascii="宋体" w:eastAsia="宋体" w:hAnsi="宋体" w:cs="宋体"/>
                                  <w:color w:val="3D3D3D"/>
                                  <w:kern w:val="0"/>
                                  <w:sz w:val="18"/>
                                  <w:szCs w:val="18"/>
                                </w:rPr>
                              </w:pPr>
                              <w:r w:rsidRPr="00025AE0">
                                <w:rPr>
                                  <w:rFonts w:ascii="宋体" w:eastAsia="宋体" w:hAnsi="宋体" w:cs="宋体"/>
                                  <w:color w:val="3D3D3D"/>
                                  <w:kern w:val="0"/>
                                  <w:sz w:val="18"/>
                                  <w:szCs w:val="18"/>
                                </w:rPr>
                                <w:t>2</w:t>
                              </w:r>
                            </w:p>
                          </w:tc>
                          <w:tc>
                            <w:tcPr>
                              <w:tcW w:w="1201"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外来陆生野生动物物种野外放生初审</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省林业厅</w:t>
                              </w:r>
                            </w:p>
                          </w:tc>
                          <w:tc>
                            <w:tcPr>
                              <w:tcW w:w="5521" w:type="dxa"/>
                              <w:tcBorders>
                                <w:top w:val="outset" w:sz="6" w:space="0" w:color="000000"/>
                                <w:left w:val="outset" w:sz="6" w:space="0" w:color="000000"/>
                                <w:bottom w:val="outset" w:sz="6" w:space="0" w:color="000000"/>
                                <w:right w:val="outset" w:sz="6" w:space="0" w:color="000000"/>
                              </w:tcBorders>
                              <w:vAlign w:val="center"/>
                              <w:hideMark/>
                            </w:tcPr>
                            <w:p w:rsidR="00025AE0" w:rsidRPr="00025AE0" w:rsidRDefault="00025AE0" w:rsidP="00025AE0">
                              <w:pPr>
                                <w:widowControl/>
                                <w:spacing w:line="330" w:lineRule="atLeast"/>
                                <w:jc w:val="left"/>
                                <w:rPr>
                                  <w:rFonts w:ascii="宋体" w:eastAsia="宋体" w:hAnsi="宋体" w:cs="宋体"/>
                                  <w:color w:val="3D3D3D"/>
                                  <w:kern w:val="0"/>
                                  <w:sz w:val="18"/>
                                  <w:szCs w:val="18"/>
                                </w:rPr>
                              </w:pPr>
                              <w:r w:rsidRPr="00025AE0">
                                <w:rPr>
                                  <w:rFonts w:ascii="宋体" w:eastAsia="宋体" w:hAnsi="宋体" w:cs="宋体"/>
                                  <w:color w:val="3D3D3D"/>
                                  <w:kern w:val="0"/>
                                  <w:sz w:val="18"/>
                                  <w:szCs w:val="18"/>
                                </w:rPr>
                                <w:t>一是省市县林业主管部门要加强引导和服务，引导申请人严格按照国家林业局服务指南公布的要求提交申请材料，发现有问题或不规范的，及时与其沟通，做好服务工作。二是严格按照国家林业局外来陆生野生动物物种野外放生的相关规定实施放生活动。三是加强执法检</w:t>
                              </w:r>
                              <w:r w:rsidRPr="00025AE0">
                                <w:rPr>
                                  <w:rFonts w:ascii="宋体" w:eastAsia="宋体" w:hAnsi="宋体" w:cs="宋体"/>
                                  <w:color w:val="3D3D3D"/>
                                  <w:kern w:val="0"/>
                                  <w:sz w:val="18"/>
                                  <w:szCs w:val="18"/>
                                </w:rPr>
                                <w:lastRenderedPageBreak/>
                                <w:t>查，严格处罚违法违规放生行为。四是加大宣传教育力度，设立完善举报电话，充分发挥社会监督作用。</w:t>
                              </w:r>
                            </w:p>
                          </w:tc>
                        </w:tr>
                      </w:tbl>
                      <w:p w:rsidR="00025AE0" w:rsidRPr="00025AE0" w:rsidRDefault="00025AE0" w:rsidP="0031576B">
                        <w:pPr>
                          <w:widowControl/>
                          <w:spacing w:line="330" w:lineRule="atLeast"/>
                          <w:jc w:val="left"/>
                          <w:rPr>
                            <w:rFonts w:ascii="宋体" w:eastAsia="宋体" w:hAnsi="宋体" w:cs="宋体"/>
                            <w:color w:val="3D3D3D"/>
                            <w:kern w:val="0"/>
                            <w:sz w:val="18"/>
                            <w:szCs w:val="18"/>
                          </w:rPr>
                        </w:pPr>
                      </w:p>
                    </w:tc>
                  </w:tr>
                </w:tbl>
                <w:p w:rsidR="00025AE0" w:rsidRPr="00025AE0" w:rsidRDefault="00025AE0" w:rsidP="00025AE0">
                  <w:pPr>
                    <w:widowControl/>
                    <w:spacing w:line="330" w:lineRule="atLeast"/>
                    <w:jc w:val="left"/>
                    <w:rPr>
                      <w:rFonts w:ascii="宋体" w:eastAsia="宋体" w:hAnsi="宋体" w:cs="宋体"/>
                      <w:color w:val="3D3D3D"/>
                      <w:kern w:val="0"/>
                      <w:sz w:val="18"/>
                      <w:szCs w:val="18"/>
                    </w:rPr>
                  </w:pPr>
                </w:p>
              </w:tc>
            </w:tr>
          </w:tbl>
          <w:p w:rsidR="00025AE0" w:rsidRPr="00025AE0" w:rsidRDefault="00025AE0" w:rsidP="00025AE0">
            <w:pPr>
              <w:widowControl/>
              <w:spacing w:line="330" w:lineRule="atLeast"/>
              <w:jc w:val="left"/>
              <w:rPr>
                <w:rFonts w:ascii="宋体" w:eastAsia="宋体" w:hAnsi="宋体" w:cs="宋体"/>
                <w:vanish/>
                <w:color w:val="3D3D3D"/>
                <w:kern w:val="0"/>
                <w:sz w:val="18"/>
                <w:szCs w:val="18"/>
              </w:rPr>
            </w:pPr>
          </w:p>
          <w:p w:rsidR="00025AE0" w:rsidRPr="00025AE0" w:rsidRDefault="00025AE0" w:rsidP="00025AE0">
            <w:pPr>
              <w:widowControl/>
              <w:spacing w:line="330" w:lineRule="atLeast"/>
              <w:jc w:val="left"/>
              <w:rPr>
                <w:rFonts w:ascii="宋体" w:eastAsia="宋体" w:hAnsi="宋体" w:cs="宋体"/>
                <w:color w:val="3D3D3D"/>
                <w:kern w:val="0"/>
                <w:sz w:val="18"/>
                <w:szCs w:val="18"/>
              </w:rPr>
            </w:pPr>
          </w:p>
        </w:tc>
        <w:tc>
          <w:tcPr>
            <w:tcW w:w="6" w:type="dxa"/>
            <w:vAlign w:val="center"/>
            <w:hideMark/>
          </w:tcPr>
          <w:p w:rsidR="00025AE0" w:rsidRPr="00025AE0" w:rsidRDefault="00025AE0" w:rsidP="00025AE0">
            <w:pPr>
              <w:widowControl/>
              <w:spacing w:line="330" w:lineRule="atLeast"/>
              <w:jc w:val="left"/>
              <w:rPr>
                <w:rFonts w:ascii="Times New Roman" w:eastAsia="Times New Roman" w:hAnsi="Times New Roman" w:cs="Times New Roman"/>
                <w:kern w:val="0"/>
                <w:sz w:val="20"/>
                <w:szCs w:val="20"/>
              </w:rPr>
            </w:pPr>
          </w:p>
        </w:tc>
      </w:tr>
    </w:tbl>
    <w:p w:rsidR="00C430A1" w:rsidRDefault="00C430A1">
      <w:pPr>
        <w:rPr>
          <w:rFonts w:hint="eastAsia"/>
        </w:rPr>
      </w:pPr>
    </w:p>
    <w:sectPr w:rsidR="00C430A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87" w:rsidRDefault="002F4487" w:rsidP="00B1294A">
      <w:r>
        <w:separator/>
      </w:r>
    </w:p>
  </w:endnote>
  <w:endnote w:type="continuationSeparator" w:id="0">
    <w:p w:rsidR="002F4487" w:rsidRDefault="002F4487" w:rsidP="00B1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11415"/>
      <w:docPartObj>
        <w:docPartGallery w:val="Page Numbers (Bottom of Page)"/>
        <w:docPartUnique/>
      </w:docPartObj>
    </w:sdtPr>
    <w:sdtContent>
      <w:p w:rsidR="00ED730B" w:rsidRDefault="00ED730B">
        <w:pPr>
          <w:pStyle w:val="a4"/>
          <w:jc w:val="center"/>
        </w:pPr>
        <w:r>
          <w:fldChar w:fldCharType="begin"/>
        </w:r>
        <w:r>
          <w:instrText>PAGE   \* MERGEFORMAT</w:instrText>
        </w:r>
        <w:r>
          <w:fldChar w:fldCharType="separate"/>
        </w:r>
        <w:r w:rsidRPr="00ED730B">
          <w:rPr>
            <w:noProof/>
            <w:lang w:val="zh-CN"/>
          </w:rPr>
          <w:t>16</w:t>
        </w:r>
        <w:r>
          <w:fldChar w:fldCharType="end"/>
        </w:r>
      </w:p>
    </w:sdtContent>
  </w:sdt>
  <w:p w:rsidR="00ED730B" w:rsidRDefault="00ED73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87" w:rsidRDefault="002F4487" w:rsidP="00B1294A">
      <w:r>
        <w:separator/>
      </w:r>
    </w:p>
  </w:footnote>
  <w:footnote w:type="continuationSeparator" w:id="0">
    <w:p w:rsidR="002F4487" w:rsidRDefault="002F4487" w:rsidP="00B12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03"/>
    <w:rsid w:val="00025AE0"/>
    <w:rsid w:val="0008043E"/>
    <w:rsid w:val="002F4487"/>
    <w:rsid w:val="0031576B"/>
    <w:rsid w:val="003D3BE7"/>
    <w:rsid w:val="003E6BFF"/>
    <w:rsid w:val="004333B7"/>
    <w:rsid w:val="00475CD7"/>
    <w:rsid w:val="00543188"/>
    <w:rsid w:val="00603142"/>
    <w:rsid w:val="00A12822"/>
    <w:rsid w:val="00B1294A"/>
    <w:rsid w:val="00C430A1"/>
    <w:rsid w:val="00E11664"/>
    <w:rsid w:val="00E76616"/>
    <w:rsid w:val="00E84B2D"/>
    <w:rsid w:val="00EA594B"/>
    <w:rsid w:val="00ED730B"/>
    <w:rsid w:val="00F13AA8"/>
    <w:rsid w:val="00FD6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18A67-FD9E-4D1D-9C5C-88E24A60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2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294A"/>
    <w:rPr>
      <w:sz w:val="18"/>
      <w:szCs w:val="18"/>
    </w:rPr>
  </w:style>
  <w:style w:type="paragraph" w:styleId="a4">
    <w:name w:val="footer"/>
    <w:basedOn w:val="a"/>
    <w:link w:val="Char0"/>
    <w:uiPriority w:val="99"/>
    <w:unhideWhenUsed/>
    <w:rsid w:val="00B1294A"/>
    <w:pPr>
      <w:tabs>
        <w:tab w:val="center" w:pos="4153"/>
        <w:tab w:val="right" w:pos="8306"/>
      </w:tabs>
      <w:snapToGrid w:val="0"/>
      <w:jc w:val="left"/>
    </w:pPr>
    <w:rPr>
      <w:sz w:val="18"/>
      <w:szCs w:val="18"/>
    </w:rPr>
  </w:style>
  <w:style w:type="character" w:customStyle="1" w:styleId="Char0">
    <w:name w:val="页脚 Char"/>
    <w:basedOn w:val="a0"/>
    <w:link w:val="a4"/>
    <w:uiPriority w:val="99"/>
    <w:rsid w:val="00B129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16562">
      <w:bodyDiv w:val="1"/>
      <w:marLeft w:val="0"/>
      <w:marRight w:val="0"/>
      <w:marTop w:val="0"/>
      <w:marBottom w:val="0"/>
      <w:divBdr>
        <w:top w:val="none" w:sz="0" w:space="0" w:color="auto"/>
        <w:left w:val="none" w:sz="0" w:space="0" w:color="auto"/>
        <w:bottom w:val="none" w:sz="0" w:space="0" w:color="auto"/>
        <w:right w:val="none" w:sz="0" w:space="0" w:color="auto"/>
      </w:divBdr>
      <w:divsChild>
        <w:div w:id="1323510963">
          <w:marLeft w:val="0"/>
          <w:marRight w:val="0"/>
          <w:marTop w:val="0"/>
          <w:marBottom w:val="0"/>
          <w:divBdr>
            <w:top w:val="none" w:sz="0" w:space="0" w:color="auto"/>
            <w:left w:val="none" w:sz="0" w:space="0" w:color="auto"/>
            <w:bottom w:val="none" w:sz="0" w:space="0" w:color="auto"/>
            <w:right w:val="none" w:sz="0" w:space="0" w:color="auto"/>
          </w:divBdr>
          <w:divsChild>
            <w:div w:id="240213958">
              <w:marLeft w:val="0"/>
              <w:marRight w:val="0"/>
              <w:marTop w:val="0"/>
              <w:marBottom w:val="0"/>
              <w:divBdr>
                <w:top w:val="none" w:sz="0" w:space="0" w:color="auto"/>
                <w:left w:val="none" w:sz="0" w:space="0" w:color="auto"/>
                <w:bottom w:val="none" w:sz="0" w:space="0" w:color="auto"/>
                <w:right w:val="none" w:sz="0" w:space="0" w:color="auto"/>
              </w:divBdr>
              <w:divsChild>
                <w:div w:id="814493109">
                  <w:marLeft w:val="0"/>
                  <w:marRight w:val="0"/>
                  <w:marTop w:val="0"/>
                  <w:marBottom w:val="0"/>
                  <w:divBdr>
                    <w:top w:val="none" w:sz="0" w:space="0" w:color="auto"/>
                    <w:left w:val="none" w:sz="0" w:space="0" w:color="auto"/>
                    <w:bottom w:val="none" w:sz="0" w:space="0" w:color="auto"/>
                    <w:right w:val="none" w:sz="0" w:space="0" w:color="auto"/>
                  </w:divBdr>
                  <w:divsChild>
                    <w:div w:id="1235092341">
                      <w:marLeft w:val="0"/>
                      <w:marRight w:val="0"/>
                      <w:marTop w:val="0"/>
                      <w:marBottom w:val="0"/>
                      <w:divBdr>
                        <w:top w:val="none" w:sz="0" w:space="0" w:color="auto"/>
                        <w:left w:val="none" w:sz="0" w:space="0" w:color="auto"/>
                        <w:bottom w:val="none" w:sz="0" w:space="0" w:color="auto"/>
                        <w:right w:val="none" w:sz="0" w:space="0" w:color="auto"/>
                      </w:divBdr>
                      <w:divsChild>
                        <w:div w:id="1282032313">
                          <w:marLeft w:val="0"/>
                          <w:marRight w:val="0"/>
                          <w:marTop w:val="0"/>
                          <w:marBottom w:val="0"/>
                          <w:divBdr>
                            <w:top w:val="single" w:sz="6" w:space="0" w:color="C9E0F2"/>
                            <w:left w:val="single" w:sz="6" w:space="0" w:color="C9E0F2"/>
                            <w:bottom w:val="single" w:sz="6" w:space="15" w:color="C9E0F2"/>
                            <w:right w:val="single" w:sz="6" w:space="0" w:color="C9E0F2"/>
                          </w:divBdr>
                          <w:divsChild>
                            <w:div w:id="901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4E8DD-BBA0-4067-AE76-E966B591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dc:creator>
  <cp:keywords/>
  <dc:description/>
  <cp:lastModifiedBy>DongJing</cp:lastModifiedBy>
  <cp:revision>14</cp:revision>
  <dcterms:created xsi:type="dcterms:W3CDTF">2018-01-09T07:01:00Z</dcterms:created>
  <dcterms:modified xsi:type="dcterms:W3CDTF">2018-01-09T08:39:00Z</dcterms:modified>
</cp:coreProperties>
</file>