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57" w:beforeLines="5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金昌市事业单位登记管理局</w:t>
      </w:r>
    </w:p>
    <w:p>
      <w:pPr>
        <w:keepNext w:val="0"/>
        <w:keepLines w:val="0"/>
        <w:pageBreakBefore w:val="0"/>
        <w:widowControl w:val="0"/>
        <w:kinsoku/>
        <w:wordWrap/>
        <w:overflowPunct/>
        <w:topLinePunct w:val="0"/>
        <w:autoSpaceDE/>
        <w:autoSpaceDN/>
        <w:bidi w:val="0"/>
        <w:adjustRightInd/>
        <w:snapToGrid/>
        <w:spacing w:before="157" w:beforeLines="5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关于事业单位法人公示信息双随机抽查</w:t>
      </w:r>
    </w:p>
    <w:p>
      <w:pPr>
        <w:keepNext w:val="0"/>
        <w:keepLines w:val="0"/>
        <w:pageBreakBefore w:val="0"/>
        <w:widowControl w:val="0"/>
        <w:kinsoku/>
        <w:wordWrap/>
        <w:overflowPunct/>
        <w:topLinePunct w:val="0"/>
        <w:autoSpaceDE/>
        <w:autoSpaceDN/>
        <w:bidi w:val="0"/>
        <w:adjustRightInd/>
        <w:snapToGrid/>
        <w:spacing w:before="157" w:beforeLines="5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工作实施方案</w:t>
      </w:r>
    </w:p>
    <w:p>
      <w:pPr>
        <w:keepNext w:val="0"/>
        <w:keepLines w:val="0"/>
        <w:pageBreakBefore w:val="0"/>
        <w:widowControl w:val="0"/>
        <w:kinsoku/>
        <w:wordWrap/>
        <w:overflowPunct/>
        <w:topLinePunct w:val="0"/>
        <w:autoSpaceDE/>
        <w:autoSpaceDN/>
        <w:bidi w:val="0"/>
        <w:adjustRightInd/>
        <w:snapToGrid/>
        <w:spacing w:before="157" w:beforeLines="50" w:line="6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国务院办公厅关于推广随机抽查规范事中事后监管的通知》（国办发〔2015〕58号）和《中央编办关于批转&lt;事业单位法人公示信息抽查办法（试行）&gt;的通知》（中央编办发〔2015〕131号）精神，进一步加强对事业单位法人的监督管理，规范事业单位法人公示信息抽查工作，特制定如下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 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公平公正、公开透明、依法监管、规范高效、协同推进原则，严格执行《事业单位登记管理暂行条例》及其实施细则和其他相关法规，转变监管理念，创新监管方式，提升监管效能，规范执法行为，大力推进双随机抽查工作制度，将随机抽查作为加强事业单位事中事后监管和登记管理机关开展执法工作的主要方式，激发事业单位公益属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 工作机制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建立“一单两库”，实行事业单位公示信息双随机抽查机制。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（一）建立“一单两库”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建立随机抽查事项清单。依据《事业单位登记管理暂行条例实施细则》第六十八条，确定随机抽查事项为事业单位法人年度报告公示信息。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执法主体库。按照分级和属地监管要求，建立执法主体库，抽查对象为已在金昌市事业单位登记管理局进行法人登记，并于本年度3月31日前已在国家事业单位登记管理局网站进行年度报告公示的单位，执法主体库每年更新一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建立行政执法人员库。将本级机构编制部门中持有行政执法证的工作人员列入行政执法检查人员库，每年更新一次。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（二）建立“双随机”抽查机制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通过摇号等方式，从执法主体库中随机抽取检查对象、从行政执法人员库中随机选派执法检查人员的“双随机”抽查机制。对投诉举报多、列入异常名录或有严重违法违规记录的重点单位要加大随机抽查力度。随机抽查应做到全程记录，实现责任可追溯。具体办法将参照《中央编办关于批转&lt;事业单位法人公示信息抽查办法（试行）&gt;的通知》来制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三、工作事项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（一）抽查主体和对象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1.抽查主体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事业单位法人年度报告公示信息双随机抽查工作的主体为市事业单位登记管理局，随机选派的执法检查人员为市机构编制部门中持有行政执法证的工作人员。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2.抽查对象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抽查对象为执法主体库中的单位，每次抽取比例为1%—3%。当年已经被抽查的事业单位法人，不再计入本年度内抽查的基数。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（二）抽查时间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登记管理机关应当于每年事业单位法人年度报告公示结束（3月31日）后，对事业单位法人的年度报告至少进行一次随机抽查。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（三）抽查内容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事业单位法人登记事项、年度报告等公示信息。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（四）抽查方式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管理机关可以采取书面审查、实地核查、网络监测等方式进行抽查。根据工作需要，登记管理机关可以单独或联合相关部门组织专项抽查。抽查中可以委托会计师事务所等专业机构开展相关工作，依法利用其他政府部门作出的检查、核查结果或者专业机构作出的专业结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（五）抽查结果运用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管理机关在随机抽查中发现事业单位法人有违反登记管理规定情形的，依据《条例》及其实施细则相关规定处理，并及时向有关主管部门通报反馈。同时，将抽查情况和查处结果通过官方网站及时向社会公示，并列入异常信息管理，通报给事业单位监管工作联席会议成员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四、工作程序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（一）确定随机抽查事项清单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依据相关文件规定，将事业单位法人年度报告公示的登记事项、业务开展情况、登记管理信息公开情况等十三项内容列入随机抽查事项清单，并明确抽查方式。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确定随机抽查主体和对象</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摇号等方式，从事业单位法人名录库中按3%的比例随机抽取检查对象，从行政执法人员名录库中随机选派2名执法检查人员，并将随机抽取的结果在机构编制网站上进行发布。同时，依法按照工作程序，将《事业单位法人公示信息抽查通知书》送达被抽查单位，请其配合做好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（三）组织抽查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行政执法人员按照日程安排，采用适当方式对被抽查单位进行检查，实地核查需要做好实地核查记录。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（四）落实结果运用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抽查工作结束后，按照方案所述要求严格落实结果运用。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五、具体要求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双随机抽查是事中事后监管方式的探索和创新，各有关部门和事业单位要积极支持和配合双随机抽查工作的开展。要进一步明确责任分工，统筹安排年度工作计划，推动双随机抽查工作任务落实。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（二）增强监管力量。</w:t>
      </w:r>
      <w:r>
        <w:rPr>
          <w:rFonts w:hint="eastAsia" w:ascii="仿宋_GB2312" w:hAnsi="仿宋_GB2312" w:eastAsia="仿宋_GB2312" w:cs="仿宋_GB2312"/>
          <w:sz w:val="32"/>
          <w:szCs w:val="32"/>
        </w:rPr>
        <w:t>监管机构要建立健全相应工作机制，充实并合理调配执法检查力量，加强执法人员培训，转变执法理念，探索完善随机抽查监管办法，加强跨部门协同配合，不断提高检查水平和执法能力，切实依法履行监管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（三）加大工作宣传。</w:t>
      </w:r>
      <w:r>
        <w:rPr>
          <w:rFonts w:hint="eastAsia" w:ascii="仿宋_GB2312" w:hAnsi="仿宋_GB2312" w:eastAsia="仿宋_GB2312" w:cs="仿宋_GB2312"/>
          <w:sz w:val="32"/>
          <w:szCs w:val="32"/>
        </w:rPr>
        <w:t>双随机抽查是贯彻落实党中央、国务院关于深化行政体制改革，加快转变政府职能，进一步推进简政放权、放管结合、优化服务等部署和要求的重要举措。要加大工作宣传力度，为双随机抽查工作的开展营造良好的氛围。</w:t>
      </w:r>
    </w:p>
    <w:sectPr>
      <w:headerReference r:id="rId3" w:type="default"/>
      <w:footerReference r:id="rId4" w:type="default"/>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F0"/>
    <w:rsid w:val="002B70B4"/>
    <w:rsid w:val="006B647F"/>
    <w:rsid w:val="007B08C5"/>
    <w:rsid w:val="00AD4FF0"/>
    <w:rsid w:val="00D60F7C"/>
    <w:rsid w:val="00DD5A25"/>
    <w:rsid w:val="22043D25"/>
    <w:rsid w:val="470727AF"/>
    <w:rsid w:val="695B14A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1794</Characters>
  <Lines>14</Lines>
  <Paragraphs>4</Paragraphs>
  <ScaleCrop>false</ScaleCrop>
  <LinksUpToDate>false</LinksUpToDate>
  <CharactersWithSpaces>2104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2016-09-27T09:27:00Z</dcterms:created>
  <dc:creator>ybb</dc:creator>
  <cp:lastModifiedBy>Administrator</cp:lastModifiedBy>
  <cp:lastPrinted>2017-01-10T07:59:00Z</cp:lastPrinted>
  <dcterms:modified xsi:type="dcterms:W3CDTF">2017-04-20T07:35:59Z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